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639"/>
        </w:tabs>
        <w:kinsoku/>
        <w:wordWrap/>
        <w:overflowPunct/>
        <w:topLinePunct w:val="0"/>
        <w:bidi w:val="0"/>
        <w:snapToGrid w:val="0"/>
        <w:ind w:left="442" w:right="2" w:hanging="442" w:hangingChars="200"/>
        <w:jc w:val="both"/>
        <w:textAlignment w:val="auto"/>
        <w:rPr>
          <w:rFonts w:hint="default" w:ascii="Arial" w:hAnsi="Arial" w:eastAsia="宋体"/>
          <w:b/>
          <w:sz w:val="22"/>
          <w:lang w:val="en-US" w:eastAsia="zh-CN"/>
        </w:rPr>
      </w:pPr>
      <w:r>
        <w:rPr>
          <w:rFonts w:hint="eastAsia" w:ascii="Arial" w:hAnsi="Arial" w:eastAsia="宋体"/>
          <w:b/>
          <w:sz w:val="22"/>
          <w:lang w:eastAsia="ja-JP"/>
        </w:rPr>
        <w:t>3GPP TSG RAN WG1 #10</w:t>
      </w:r>
      <w:r>
        <w:rPr>
          <w:rFonts w:hint="eastAsia" w:ascii="Arial" w:hAnsi="Arial" w:eastAsia="宋体"/>
          <w:b/>
          <w:sz w:val="22"/>
          <w:lang w:val="en-US" w:eastAsia="zh-CN"/>
        </w:rPr>
        <w:t>4</w:t>
      </w:r>
      <w:r>
        <w:rPr>
          <w:rFonts w:hint="eastAsia" w:ascii="Arial" w:hAnsi="Arial" w:eastAsia="宋体"/>
          <w:b/>
          <w:sz w:val="22"/>
          <w:lang w:eastAsia="ja-JP"/>
        </w:rPr>
        <w:t>-e</w:t>
      </w:r>
      <w:r>
        <w:rPr>
          <w:rFonts w:hint="eastAsia" w:ascii="Arial" w:hAnsi="Arial" w:eastAsia="宋体"/>
          <w:b/>
          <w:sz w:val="22"/>
        </w:rPr>
        <w:tab/>
      </w:r>
      <w:r>
        <w:rPr>
          <w:rFonts w:hint="eastAsia" w:ascii="Arial" w:hAnsi="Arial" w:eastAsia="宋体"/>
          <w:b/>
          <w:sz w:val="22"/>
        </w:rPr>
        <w:t xml:space="preserve">                                                                </w:t>
      </w:r>
      <w:r>
        <w:rPr>
          <w:rFonts w:ascii="Arial" w:hAnsi="Arial" w:eastAsia="宋体"/>
          <w:b/>
          <w:sz w:val="22"/>
        </w:rPr>
        <w:t xml:space="preserve">    </w:t>
      </w:r>
      <w:r>
        <w:rPr>
          <w:rFonts w:hint="eastAsia" w:ascii="Arial" w:hAnsi="Arial" w:eastAsia="宋体"/>
          <w:b/>
          <w:sz w:val="22"/>
        </w:rPr>
        <w:t xml:space="preserve">                 </w:t>
      </w:r>
      <w:r>
        <w:rPr>
          <w:rFonts w:hint="eastAsia" w:ascii="Arial" w:hAnsi="Arial" w:eastAsia="宋体"/>
          <w:b/>
          <w:sz w:val="22"/>
          <w:lang w:eastAsia="ja-JP"/>
        </w:rPr>
        <w:t>R1-</w:t>
      </w:r>
      <w:r>
        <w:rPr>
          <w:rFonts w:hint="eastAsia" w:ascii="Arial" w:hAnsi="Arial" w:eastAsia="宋体"/>
          <w:b/>
          <w:sz w:val="22"/>
        </w:rPr>
        <w:t>2</w:t>
      </w:r>
      <w:r>
        <w:rPr>
          <w:rFonts w:hint="eastAsia" w:ascii="Arial" w:hAnsi="Arial" w:eastAsia="宋体"/>
          <w:b/>
          <w:sz w:val="22"/>
          <w:lang w:val="en-US" w:eastAsia="zh-CN"/>
        </w:rPr>
        <w:t>100287</w:t>
      </w:r>
    </w:p>
    <w:p>
      <w:pPr>
        <w:pageBreakBefore w:val="0"/>
        <w:tabs>
          <w:tab w:val="center" w:pos="4536"/>
          <w:tab w:val="right" w:pos="8280"/>
          <w:tab w:val="right" w:pos="9639"/>
        </w:tabs>
        <w:kinsoku/>
        <w:wordWrap/>
        <w:overflowPunct/>
        <w:topLinePunct w:val="0"/>
        <w:bidi w:val="0"/>
        <w:snapToGrid w:val="0"/>
        <w:ind w:left="442" w:right="2" w:hanging="442" w:hangingChars="200"/>
        <w:jc w:val="both"/>
        <w:textAlignment w:val="auto"/>
        <w:rPr>
          <w:rFonts w:hint="eastAsia" w:ascii="Arial" w:hAnsi="Arial" w:eastAsia="宋体"/>
          <w:b/>
          <w:sz w:val="22"/>
          <w:lang w:eastAsia="zh-CN"/>
        </w:rPr>
      </w:pPr>
      <w:r>
        <w:rPr>
          <w:rFonts w:hint="eastAsia" w:ascii="Arial" w:hAnsi="Arial" w:eastAsia="宋体"/>
          <w:b/>
          <w:sz w:val="22"/>
          <w:lang w:eastAsia="ja-JP"/>
        </w:rPr>
        <w:t xml:space="preserve">e-Meeting, </w:t>
      </w:r>
      <w:r>
        <w:rPr>
          <w:rFonts w:hint="eastAsia" w:ascii="Arial" w:hAnsi="Arial" w:eastAsia="宋体"/>
          <w:b/>
          <w:sz w:val="22"/>
          <w:lang w:val="en-US" w:eastAsia="zh-CN"/>
        </w:rPr>
        <w:t>January</w:t>
      </w:r>
      <w:r>
        <w:rPr>
          <w:rFonts w:hint="eastAsia" w:ascii="Arial" w:hAnsi="Arial" w:eastAsia="宋体"/>
          <w:b/>
          <w:sz w:val="22"/>
        </w:rPr>
        <w:t xml:space="preserve"> 2</w:t>
      </w:r>
      <w:r>
        <w:rPr>
          <w:rFonts w:hint="eastAsia" w:ascii="Arial" w:hAnsi="Arial" w:eastAsia="宋体"/>
          <w:b/>
          <w:sz w:val="22"/>
          <w:lang w:val="en-US" w:eastAsia="zh-CN"/>
        </w:rPr>
        <w:t>5</w:t>
      </w:r>
      <w:r>
        <w:rPr>
          <w:rFonts w:hint="eastAsia" w:ascii="Arial" w:hAnsi="Arial" w:eastAsia="宋体"/>
          <w:b/>
          <w:sz w:val="22"/>
          <w:vertAlign w:val="superscript"/>
          <w:lang w:eastAsia="ja-JP"/>
        </w:rPr>
        <w:t>th</w:t>
      </w:r>
      <w:r>
        <w:rPr>
          <w:rFonts w:hint="eastAsia" w:ascii="Arial" w:hAnsi="Arial" w:eastAsia="宋体"/>
          <w:b/>
          <w:sz w:val="22"/>
          <w:vertAlign w:val="superscript"/>
          <w:lang w:val="en-US" w:eastAsia="zh-CN"/>
        </w:rPr>
        <w:t xml:space="preserve"> </w:t>
      </w:r>
      <w:r>
        <w:rPr>
          <w:rFonts w:hint="default" w:ascii="Times New Roman" w:hAnsi="Times New Roman" w:eastAsia="宋体"/>
          <w:b/>
          <w:sz w:val="22"/>
          <w:lang w:eastAsia="ja-JP"/>
        </w:rPr>
        <w:t>–</w:t>
      </w:r>
      <w:r>
        <w:rPr>
          <w:rFonts w:hint="eastAsia" w:eastAsia="宋体"/>
          <w:b/>
          <w:sz w:val="22"/>
          <w:lang w:val="en-US" w:eastAsia="zh-CN"/>
        </w:rPr>
        <w:t xml:space="preserve"> </w:t>
      </w:r>
      <w:r>
        <w:rPr>
          <w:rFonts w:hint="eastAsia" w:ascii="Arial" w:hAnsi="Arial" w:eastAsia="宋体"/>
          <w:b/>
          <w:sz w:val="22"/>
          <w:lang w:val="en-US" w:eastAsia="zh-CN"/>
        </w:rPr>
        <w:t>February</w:t>
      </w:r>
      <w:r>
        <w:rPr>
          <w:rFonts w:hint="eastAsia" w:ascii="Arial" w:hAnsi="Arial" w:eastAsia="宋体"/>
          <w:b/>
          <w:sz w:val="22"/>
        </w:rPr>
        <w:t xml:space="preserve"> </w:t>
      </w:r>
      <w:r>
        <w:rPr>
          <w:rFonts w:hint="eastAsia" w:ascii="Arial" w:hAnsi="Arial" w:eastAsia="宋体"/>
          <w:b/>
          <w:sz w:val="22"/>
          <w:lang w:val="en-US" w:eastAsia="zh-CN"/>
        </w:rPr>
        <w:t>5</w:t>
      </w:r>
      <w:r>
        <w:rPr>
          <w:rFonts w:hint="eastAsia" w:ascii="Arial" w:hAnsi="Arial" w:eastAsia="宋体"/>
          <w:b/>
          <w:sz w:val="22"/>
          <w:vertAlign w:val="superscript"/>
        </w:rPr>
        <w:t>th</w:t>
      </w:r>
      <w:r>
        <w:rPr>
          <w:rFonts w:hint="eastAsia" w:ascii="Arial" w:hAnsi="Arial" w:eastAsia="宋体"/>
          <w:b/>
          <w:sz w:val="22"/>
          <w:lang w:eastAsia="ja-JP"/>
        </w:rPr>
        <w:t>, 202</w:t>
      </w:r>
      <w:r>
        <w:rPr>
          <w:rFonts w:hint="eastAsia" w:ascii="Arial" w:hAnsi="Arial" w:eastAsia="宋体"/>
          <w:b/>
          <w:sz w:val="22"/>
          <w:lang w:val="en-US" w:eastAsia="zh-CN"/>
        </w:rPr>
        <w:t>1</w:t>
      </w:r>
    </w:p>
    <w:p>
      <w:pPr>
        <w:pStyle w:val="23"/>
        <w:pageBreakBefore w:val="0"/>
        <w:tabs>
          <w:tab w:val="left" w:pos="1805"/>
          <w:tab w:val="clear" w:pos="4536"/>
        </w:tabs>
        <w:kinsoku/>
        <w:wordWrap/>
        <w:overflowPunct/>
        <w:topLinePunct w:val="0"/>
        <w:bidi w:val="0"/>
        <w:snapToGrid w:val="0"/>
        <w:spacing w:before="120"/>
        <w:ind w:left="1803" w:hanging="1803"/>
        <w:jc w:val="both"/>
        <w:textAlignment w:val="auto"/>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3"/>
        <w:pageBreakBefore w:val="0"/>
        <w:tabs>
          <w:tab w:val="left" w:pos="1800"/>
        </w:tabs>
        <w:kinsoku/>
        <w:wordWrap/>
        <w:overflowPunct/>
        <w:topLinePunct w:val="0"/>
        <w:bidi w:val="0"/>
        <w:snapToGrid w:val="0"/>
        <w:ind w:left="1840" w:hanging="1833" w:hangingChars="833"/>
        <w:jc w:val="both"/>
        <w:textAlignment w:val="auto"/>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Discussion on Multi-TRP inter-cell operation</w:t>
      </w:r>
    </w:p>
    <w:p>
      <w:pPr>
        <w:pStyle w:val="23"/>
        <w:pageBreakBefore w:val="0"/>
        <w:tabs>
          <w:tab w:val="left" w:pos="1800"/>
        </w:tabs>
        <w:kinsoku/>
        <w:wordWrap/>
        <w:overflowPunct/>
        <w:topLinePunct w:val="0"/>
        <w:bidi w:val="0"/>
        <w:snapToGrid w:val="0"/>
        <w:jc w:val="both"/>
        <w:textAlignment w:val="auto"/>
        <w:rPr>
          <w:sz w:val="22"/>
          <w:szCs w:val="22"/>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sz w:val="22"/>
          <w:szCs w:val="22"/>
        </w:rPr>
        <w:t>8.1.2.2</w:t>
      </w:r>
    </w:p>
    <w:p>
      <w:pPr>
        <w:pageBreakBefore w:val="0"/>
        <w:pBdr>
          <w:bottom w:val="single" w:color="auto" w:sz="6" w:space="1"/>
        </w:pBdr>
        <w:kinsoku/>
        <w:wordWrap/>
        <w:overflowPunct/>
        <w:topLinePunct w:val="0"/>
        <w:bidi w:val="0"/>
        <w:snapToGrid w:val="0"/>
        <w:spacing w:after="240"/>
        <w:ind w:left="1800" w:hanging="1800"/>
        <w:jc w:val="both"/>
        <w:textAlignment w:val="auto"/>
        <w:rPr>
          <w:rFonts w:eastAsia="宋体"/>
          <w:b/>
          <w:sz w:val="22"/>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pageBreakBefore w:val="0"/>
        <w:tabs>
          <w:tab w:val="clear" w:pos="432"/>
        </w:tabs>
        <w:kinsoku/>
        <w:wordWrap/>
        <w:overflowPunct/>
        <w:topLinePunct w:val="0"/>
        <w:bidi w:val="0"/>
        <w:snapToGrid w:val="0"/>
        <w:spacing w:before="180" w:beforeLines="50" w:beforeAutospacing="0" w:after="180" w:afterLines="50" w:afterAutospacing="0" w:line="240" w:lineRule="auto"/>
        <w:ind w:left="431" w:hanging="431"/>
        <w:jc w:val="both"/>
        <w:textAlignment w:val="auto"/>
        <w:rPr>
          <w:rFonts w:ascii="Arial" w:hAnsi="Arial"/>
          <w:sz w:val="28"/>
          <w:lang w:val="en-US"/>
        </w:rPr>
      </w:pPr>
      <w:r>
        <w:rPr>
          <w:rFonts w:ascii="Arial" w:hAnsi="Arial"/>
          <w:sz w:val="28"/>
          <w:lang w:val="en-US"/>
        </w:rPr>
        <w:t>Introduction</w:t>
      </w:r>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Fonts w:eastAsia="宋体"/>
        </w:rPr>
      </w:pPr>
      <w:r>
        <w:rPr>
          <w:rFonts w:hint="eastAsia" w:eastAsia="宋体"/>
        </w:rPr>
        <w:t>In RAN1 #10</w:t>
      </w:r>
      <w:r>
        <w:rPr>
          <w:rFonts w:hint="eastAsia" w:eastAsia="宋体"/>
          <w:lang w:val="en-US" w:eastAsia="zh-CN"/>
        </w:rPr>
        <w:t>3</w:t>
      </w:r>
      <w:r>
        <w:rPr>
          <w:rFonts w:hint="eastAsia" w:eastAsia="宋体"/>
        </w:rPr>
        <w:t>-e meeting, the following agreement</w:t>
      </w:r>
      <w:r>
        <w:rPr>
          <w:rFonts w:hint="eastAsia" w:eastAsia="宋体"/>
          <w:lang w:val="en-US" w:eastAsia="zh-CN"/>
        </w:rPr>
        <w:t>s</w:t>
      </w:r>
      <w:r>
        <w:rPr>
          <w:rFonts w:hint="eastAsia" w:eastAsia="宋体"/>
        </w:rPr>
        <w:t xml:space="preserve"> of Multi-TRP inter-cell operation </w:t>
      </w:r>
      <w:r>
        <w:rPr>
          <w:rFonts w:hint="eastAsia" w:eastAsia="宋体"/>
          <w:lang w:val="en-US" w:eastAsia="zh-CN"/>
        </w:rPr>
        <w:t>were</w:t>
      </w:r>
      <w:r>
        <w:rPr>
          <w:rFonts w:hint="eastAsia" w:eastAsia="宋体"/>
        </w:rPr>
        <w:t xml:space="preserve"> endorsed [1].</w:t>
      </w:r>
    </w:p>
    <w:tbl>
      <w:tblPr>
        <w:tblStyle w:val="29"/>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overflowPunct/>
              <w:topLinePunct w:val="0"/>
              <w:bidi w:val="0"/>
              <w:snapToGrid w:val="0"/>
              <w:jc w:val="both"/>
              <w:textAlignment w:val="auto"/>
              <w:rPr>
                <w:rFonts w:hint="default" w:eastAsia="宋体"/>
                <w:b/>
                <w:bCs w:val="0"/>
                <w:i/>
                <w:iCs/>
                <w:highlight w:val="none"/>
                <w:u w:val="single"/>
                <w:lang w:val="en-US" w:eastAsia="zh-CN"/>
              </w:rPr>
            </w:pPr>
            <w:r>
              <w:rPr>
                <w:b/>
                <w:bCs w:val="0"/>
                <w:i/>
                <w:iCs/>
                <w:highlight w:val="none"/>
                <w:u w:val="single"/>
              </w:rPr>
              <w:t>Agreement</w:t>
            </w:r>
            <w:r>
              <w:rPr>
                <w:rFonts w:hint="eastAsia" w:eastAsia="宋体"/>
                <w:b/>
                <w:bCs w:val="0"/>
                <w:i/>
                <w:iCs/>
                <w:highlight w:val="none"/>
                <w:u w:val="single"/>
                <w:lang w:val="en-US" w:eastAsia="zh-CN"/>
              </w:rPr>
              <w:t>#1</w:t>
            </w:r>
          </w:p>
          <w:p>
            <w:pPr>
              <w:pageBreakBefore w:val="0"/>
              <w:kinsoku/>
              <w:wordWrap/>
              <w:overflowPunct/>
              <w:topLinePunct w:val="0"/>
              <w:bidi w:val="0"/>
              <w:snapToGrid w:val="0"/>
              <w:jc w:val="both"/>
              <w:textAlignment w:val="auto"/>
              <w:rPr>
                <w:i/>
                <w:iCs/>
              </w:rPr>
            </w:pPr>
            <w:r>
              <w:rPr>
                <w:i/>
                <w:iCs/>
              </w:rPr>
              <w:t>For QCL /TCI related enhancement for enhanced inter-cell multi-TRP operations, support RRC configuration of non-serving cell information</w:t>
            </w:r>
          </w:p>
          <w:p>
            <w:pPr>
              <w:pStyle w:val="122"/>
              <w:keepNext w:val="0"/>
              <w:keepLines w:val="0"/>
              <w:pageBreakBefore w:val="0"/>
              <w:widowControl/>
              <w:numPr>
                <w:ilvl w:val="0"/>
                <w:numId w:val="4"/>
              </w:numPr>
              <w:kinsoku/>
              <w:wordWrap/>
              <w:overflowPunct/>
              <w:topLinePunct w:val="0"/>
              <w:autoSpaceDE/>
              <w:autoSpaceDN/>
              <w:bidi w:val="0"/>
              <w:adjustRightInd/>
              <w:snapToGrid w:val="0"/>
              <w:spacing w:line="360" w:lineRule="auto"/>
              <w:ind w:leftChars="0" w:hanging="363"/>
              <w:jc w:val="both"/>
              <w:textAlignment w:val="auto"/>
              <w:rPr>
                <w:rFonts w:cs="Times"/>
                <w:i/>
                <w:iCs/>
              </w:rPr>
            </w:pPr>
            <w:r>
              <w:rPr>
                <w:rFonts w:cs="Times"/>
                <w:i/>
                <w:iCs/>
              </w:rPr>
              <w:t>Non-serving cell information can be associated with the TCI state and/or QCL-info at least when “neighbor cell SSB” is used as “QCL referenceSignal ”</w:t>
            </w:r>
          </w:p>
          <w:p>
            <w:pPr>
              <w:pStyle w:val="122"/>
              <w:keepNext w:val="0"/>
              <w:keepLines w:val="0"/>
              <w:pageBreakBefore w:val="0"/>
              <w:widowControl/>
              <w:numPr>
                <w:ilvl w:val="1"/>
                <w:numId w:val="4"/>
              </w:numPr>
              <w:kinsoku/>
              <w:wordWrap/>
              <w:overflowPunct/>
              <w:topLinePunct w:val="0"/>
              <w:autoSpaceDE/>
              <w:autoSpaceDN/>
              <w:bidi w:val="0"/>
              <w:adjustRightInd/>
              <w:snapToGrid w:val="0"/>
              <w:spacing w:line="360" w:lineRule="auto"/>
              <w:ind w:leftChars="0" w:hanging="363"/>
              <w:jc w:val="both"/>
              <w:textAlignment w:val="auto"/>
              <w:rPr>
                <w:rFonts w:cs="Times"/>
                <w:i/>
                <w:iCs/>
              </w:rPr>
            </w:pPr>
            <w:r>
              <w:rPr>
                <w:rFonts w:cs="Times"/>
                <w:i/>
                <w:iCs/>
              </w:rPr>
              <w:t>FFS : Whether beam indication enhancement is needed in addition to QCL -info enhancement</w:t>
            </w:r>
          </w:p>
          <w:p>
            <w:pPr>
              <w:pStyle w:val="122"/>
              <w:keepNext w:val="0"/>
              <w:keepLines w:val="0"/>
              <w:pageBreakBefore w:val="0"/>
              <w:widowControl/>
              <w:numPr>
                <w:ilvl w:val="1"/>
                <w:numId w:val="4"/>
              </w:numPr>
              <w:kinsoku/>
              <w:wordWrap/>
              <w:overflowPunct/>
              <w:topLinePunct w:val="0"/>
              <w:autoSpaceDE/>
              <w:autoSpaceDN/>
              <w:bidi w:val="0"/>
              <w:adjustRightInd/>
              <w:snapToGrid w:val="0"/>
              <w:spacing w:line="360" w:lineRule="auto"/>
              <w:ind w:leftChars="0" w:hanging="363"/>
              <w:jc w:val="both"/>
              <w:textAlignment w:val="auto"/>
              <w:rPr>
                <w:rFonts w:cs="Times"/>
                <w:i/>
                <w:iCs/>
              </w:rPr>
            </w:pPr>
            <w:r>
              <w:rPr>
                <w:rFonts w:cs="Times"/>
                <w:i/>
                <w:iCs/>
              </w:rPr>
              <w:t>FFS : Whether the association is explicit or implicit</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default" w:eastAsia="宋体"/>
                <w:b/>
                <w:bCs w:val="0"/>
                <w:i/>
                <w:iCs/>
                <w:highlight w:val="none"/>
                <w:u w:val="single"/>
                <w:lang w:val="en-US" w:eastAsia="zh-CN"/>
              </w:rPr>
            </w:pPr>
            <w:r>
              <w:rPr>
                <w:b/>
                <w:bCs w:val="0"/>
                <w:i/>
                <w:iCs/>
                <w:highlight w:val="none"/>
                <w:u w:val="single"/>
              </w:rPr>
              <w:t>Agreement</w:t>
            </w:r>
            <w:r>
              <w:rPr>
                <w:rFonts w:hint="eastAsia" w:eastAsia="宋体"/>
                <w:b/>
                <w:bCs w:val="0"/>
                <w:i/>
                <w:iCs/>
                <w:highlight w:val="none"/>
                <w:u w:val="single"/>
                <w:lang w:val="en-US" w:eastAsia="zh-CN"/>
              </w:rPr>
              <w:t>#2</w:t>
            </w:r>
          </w:p>
          <w:p>
            <w:pPr>
              <w:keepNext w:val="0"/>
              <w:keepLines w:val="0"/>
              <w:pageBreakBefore w:val="0"/>
              <w:widowControl/>
              <w:kinsoku/>
              <w:wordWrap/>
              <w:overflowPunct/>
              <w:topLinePunct w:val="0"/>
              <w:autoSpaceDE/>
              <w:autoSpaceDN/>
              <w:bidi w:val="0"/>
              <w:adjustRightInd/>
              <w:snapToGrid w:val="0"/>
              <w:spacing w:after="180" w:afterLines="50"/>
              <w:jc w:val="both"/>
              <w:textAlignment w:val="auto"/>
              <w:rPr>
                <w:rFonts w:eastAsia="宋体"/>
              </w:rPr>
            </w:pPr>
            <w:r>
              <w:rPr>
                <w:i/>
                <w:iCs/>
              </w:rPr>
              <w:t>The information provided by SSB-Configuration-r16/ssb-InfoNcell-r16 and/or MeasObject can be starting point for providing non-serving cell information</w:t>
            </w:r>
          </w:p>
        </w:tc>
      </w:tr>
    </w:tbl>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Fonts w:eastAsia="宋体"/>
        </w:rPr>
      </w:pPr>
      <w:r>
        <w:rPr>
          <w:rFonts w:hint="eastAsia" w:eastAsia="微软雅黑"/>
          <w:szCs w:val="20"/>
          <w:lang w:val="en-GB"/>
        </w:rPr>
        <w:t xml:space="preserve">In </w:t>
      </w:r>
      <w:r>
        <w:rPr>
          <w:rFonts w:hint="eastAsia" w:eastAsia="微软雅黑"/>
          <w:szCs w:val="20"/>
        </w:rPr>
        <w:t xml:space="preserve">this </w:t>
      </w:r>
      <w:r>
        <w:rPr>
          <w:rFonts w:hint="eastAsia" w:eastAsia="微软雅黑"/>
          <w:szCs w:val="20"/>
          <w:lang w:val="en-GB"/>
        </w:rPr>
        <w:t xml:space="preserve">contribution, </w:t>
      </w:r>
      <w:r>
        <w:rPr>
          <w:rFonts w:hint="eastAsia" w:eastAsia="微软雅黑"/>
          <w:szCs w:val="20"/>
        </w:rPr>
        <w:t>our</w:t>
      </w:r>
      <w:r>
        <w:rPr>
          <w:rFonts w:eastAsia="微软雅黑"/>
          <w:szCs w:val="20"/>
          <w:lang w:val="en-GB"/>
        </w:rPr>
        <w:t xml:space="preserve"> views on</w:t>
      </w:r>
      <w:r>
        <w:rPr>
          <w:rFonts w:hint="eastAsia" w:eastAsia="微软雅黑"/>
          <w:szCs w:val="20"/>
          <w:lang w:val="en-GB"/>
        </w:rPr>
        <w:t xml:space="preserve"> </w:t>
      </w:r>
      <w:r>
        <w:rPr>
          <w:rFonts w:hint="eastAsia" w:eastAsia="微软雅黑"/>
          <w:szCs w:val="20"/>
        </w:rPr>
        <w:t xml:space="preserve">the </w:t>
      </w:r>
      <w:r>
        <w:rPr>
          <w:rFonts w:hint="eastAsia" w:eastAsia="微软雅黑"/>
          <w:szCs w:val="20"/>
          <w:lang w:val="en-GB"/>
        </w:rPr>
        <w:t>related aspects</w:t>
      </w:r>
      <w:r>
        <w:rPr>
          <w:rFonts w:hint="eastAsia" w:eastAsia="微软雅黑"/>
          <w:szCs w:val="20"/>
        </w:rPr>
        <w:t xml:space="preserve"> are provided</w:t>
      </w:r>
      <w:r>
        <w:rPr>
          <w:rFonts w:hint="eastAsia" w:eastAsia="微软雅黑"/>
          <w:szCs w:val="20"/>
          <w:lang w:val="en-GB"/>
        </w:rPr>
        <w:t>.</w:t>
      </w:r>
    </w:p>
    <w:p>
      <w:pPr>
        <w:pStyle w:val="2"/>
        <w:pageBreakBefore w:val="0"/>
        <w:tabs>
          <w:tab w:val="clear" w:pos="432"/>
        </w:tabs>
        <w:kinsoku/>
        <w:wordWrap/>
        <w:overflowPunct/>
        <w:topLinePunct w:val="0"/>
        <w:bidi w:val="0"/>
        <w:snapToGrid w:val="0"/>
        <w:spacing w:before="180" w:beforeLines="50" w:beforeAutospacing="0" w:after="180" w:afterLines="50" w:afterAutospacing="0" w:line="240" w:lineRule="auto"/>
        <w:ind w:left="431" w:hanging="431"/>
        <w:jc w:val="both"/>
        <w:textAlignment w:val="auto"/>
        <w:rPr>
          <w:rFonts w:ascii="Arial" w:hAnsi="Arial" w:cs="Arial"/>
          <w:sz w:val="28"/>
          <w:lang w:val="en-US"/>
        </w:rPr>
      </w:pPr>
      <w:r>
        <w:rPr>
          <w:rFonts w:ascii="Arial" w:hAnsi="Arial" w:cs="Arial"/>
          <w:sz w:val="28"/>
          <w:lang w:val="en-US"/>
        </w:rPr>
        <w:t>Discussion</w:t>
      </w:r>
    </w:p>
    <w:p>
      <w:pPr>
        <w:pStyle w:val="3"/>
        <w:pageBreakBefore w:val="0"/>
        <w:kinsoku/>
        <w:wordWrap/>
        <w:overflowPunct/>
        <w:topLinePunct w:val="0"/>
        <w:bidi w:val="0"/>
        <w:snapToGrid w:val="0"/>
        <w:jc w:val="both"/>
        <w:textAlignment w:val="auto"/>
        <w:rPr>
          <w:rFonts w:hint="default" w:ascii="Arial" w:hAnsi="Arial" w:eastAsia="宋体" w:cs="Arial"/>
          <w:szCs w:val="22"/>
          <w:lang w:val="en-US" w:eastAsia="zh-CN"/>
        </w:rPr>
      </w:pPr>
      <w:r>
        <w:rPr>
          <w:rFonts w:hint="eastAsia" w:ascii="Arial" w:hAnsi="Arial" w:cs="Arial"/>
          <w:szCs w:val="22"/>
          <w:lang w:val="en-US" w:eastAsia="zh-CN"/>
        </w:rPr>
        <w:t>Required non-serving cell information</w:t>
      </w:r>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Fonts w:hint="eastAsia" w:eastAsia="宋体"/>
          <w:szCs w:val="20"/>
          <w:lang w:val="en-US" w:eastAsia="zh-CN"/>
        </w:rPr>
      </w:pPr>
      <w:r>
        <w:rPr>
          <w:rFonts w:hint="eastAsia" w:eastAsia="宋体"/>
          <w:szCs w:val="20"/>
          <w:lang w:val="en-US" w:eastAsia="zh-CN"/>
        </w:rPr>
        <w:t>In the last meeting, RAN1 agreed that non-serving cell SSB can be used as QCL source RS for Multi-TRP inter-cell operation, and the non-serving cell information should be configured by RRC signalling and associated with TCI state/ QCL-info. In order to identify the unique SSB from a non-serving cell, at least some information of SSB such as PCI, center frequency, SCS (subcarrier spacing), SMTC, SFN offset, etc. should be included. The rationales are provided as follows:</w:t>
      </w:r>
    </w:p>
    <w:p>
      <w:pPr>
        <w:pStyle w:val="25"/>
        <w:keepNext w:val="0"/>
        <w:keepLines w:val="0"/>
        <w:pageBreakBefore w:val="0"/>
        <w:widowControl/>
        <w:numPr>
          <w:ilvl w:val="0"/>
          <w:numId w:val="5"/>
        </w:numPr>
        <w:kinsoku/>
        <w:wordWrap/>
        <w:overflowPunct/>
        <w:topLinePunct w:val="0"/>
        <w:autoSpaceDE/>
        <w:autoSpaceDN/>
        <w:bidi w:val="0"/>
        <w:adjustRightInd/>
        <w:snapToGrid w:val="0"/>
        <w:spacing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PCI: To identify a specific physical cell identity of the non-serving cell SSB.</w:t>
      </w:r>
    </w:p>
    <w:p>
      <w:pPr>
        <w:pStyle w:val="25"/>
        <w:keepNext w:val="0"/>
        <w:keepLines w:val="0"/>
        <w:pageBreakBefore w:val="0"/>
        <w:widowControl/>
        <w:numPr>
          <w:ilvl w:val="0"/>
          <w:numId w:val="5"/>
        </w:numPr>
        <w:kinsoku/>
        <w:wordWrap/>
        <w:overflowPunct/>
        <w:topLinePunct w:val="0"/>
        <w:autoSpaceDE/>
        <w:autoSpaceDN/>
        <w:bidi w:val="0"/>
        <w:adjustRightInd/>
        <w:snapToGrid w:val="0"/>
        <w:spacing w:line="240" w:lineRule="auto"/>
        <w:ind w:left="363" w:hanging="363"/>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Center frequency: To determine a unique SSB by its center frequency in a non-serving cell, </w:t>
      </w:r>
      <w:r>
        <w:rPr>
          <w:rFonts w:hint="eastAsia" w:cs="Times New Roman"/>
          <w:sz w:val="20"/>
          <w:szCs w:val="20"/>
          <w:lang w:val="en-US" w:eastAsia="zh-CN"/>
        </w:rPr>
        <w:t>that</w:t>
      </w:r>
      <w:r>
        <w:rPr>
          <w:rFonts w:hint="default" w:cs="Times New Roman"/>
          <w:sz w:val="20"/>
          <w:szCs w:val="20"/>
          <w:lang w:val="en-US" w:eastAsia="zh-CN"/>
        </w:rPr>
        <w:t>’</w:t>
      </w:r>
      <w:r>
        <w:rPr>
          <w:rFonts w:hint="eastAsia" w:cs="Times New Roman"/>
          <w:sz w:val="20"/>
          <w:szCs w:val="20"/>
          <w:lang w:val="en-US" w:eastAsia="zh-CN"/>
        </w:rPr>
        <w:t xml:space="preserve">s </w:t>
      </w:r>
      <w:r>
        <w:rPr>
          <w:rFonts w:hint="eastAsia" w:ascii="Times New Roman" w:hAnsi="Times New Roman" w:cs="Times New Roman"/>
          <w:sz w:val="20"/>
          <w:szCs w:val="20"/>
          <w:lang w:val="en-US" w:eastAsia="zh-CN"/>
        </w:rPr>
        <w:t>because the current specs allow that SSBs</w:t>
      </w:r>
      <w:r>
        <w:rPr>
          <w:rFonts w:hint="eastAsia" w:cs="Times New Roman"/>
          <w:sz w:val="20"/>
          <w:szCs w:val="20"/>
          <w:lang w:val="en-US" w:eastAsia="zh-CN"/>
        </w:rPr>
        <w:t xml:space="preserve"> in different frequency range</w:t>
      </w:r>
      <w:r>
        <w:rPr>
          <w:rFonts w:hint="eastAsia" w:ascii="Times New Roman" w:hAnsi="Times New Roman" w:cs="Times New Roman"/>
          <w:sz w:val="20"/>
          <w:szCs w:val="20"/>
          <w:lang w:val="en-US" w:eastAsia="zh-CN"/>
        </w:rPr>
        <w:t xml:space="preserve"> can be configured with the same PCI, as illustrated in Figure 1.</w:t>
      </w:r>
    </w:p>
    <w:p>
      <w:pPr>
        <w:pageBreakBefore w:val="0"/>
        <w:numPr>
          <w:ilvl w:val="0"/>
          <w:numId w:val="0"/>
        </w:numPr>
        <w:kinsoku/>
        <w:wordWrap/>
        <w:overflowPunct/>
        <w:topLinePunct w:val="0"/>
        <w:bidi w:val="0"/>
        <w:snapToGrid w:val="0"/>
        <w:spacing w:before="180" w:beforeLines="50"/>
        <w:ind w:leftChars="0" w:firstLine="420" w:firstLineChars="0"/>
        <w:jc w:val="center"/>
        <w:textAlignment w:val="auto"/>
      </w:pPr>
      <w:r>
        <w:drawing>
          <wp:inline distT="0" distB="0" distL="114300" distR="114300">
            <wp:extent cx="4445635" cy="1943735"/>
            <wp:effectExtent l="0" t="0" r="1206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4445635" cy="194373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val="0"/>
        <w:spacing w:after="181" w:afterLines="50"/>
        <w:ind w:leftChars="0" w:firstLine="420" w:firstLineChars="0"/>
        <w:jc w:val="center"/>
        <w:textAlignment w:val="auto"/>
      </w:pPr>
      <w:r>
        <w:rPr>
          <w:rFonts w:hint="eastAsia" w:eastAsia="宋体"/>
          <w:b/>
          <w:bCs/>
        </w:rPr>
        <w:t>Figure 1</w:t>
      </w:r>
      <w:r>
        <w:rPr>
          <w:rFonts w:hint="eastAsia" w:eastAsia="宋体"/>
          <w:b/>
          <w:bCs/>
          <w:lang w:val="en-US" w:eastAsia="zh-CN"/>
        </w:rPr>
        <w:t>:</w:t>
      </w:r>
      <w:r>
        <w:rPr>
          <w:rFonts w:hint="eastAsia" w:eastAsia="宋体"/>
          <w:lang w:val="en-US" w:eastAsia="zh-CN"/>
        </w:rPr>
        <w:t xml:space="preserve"> </w:t>
      </w:r>
      <w:r>
        <w:rPr>
          <w:rFonts w:hint="eastAsia" w:eastAsia="宋体"/>
        </w:rPr>
        <w:t xml:space="preserve">SSBs </w:t>
      </w:r>
      <w:r>
        <w:rPr>
          <w:rFonts w:hint="eastAsia" w:eastAsia="宋体"/>
          <w:lang w:val="en-US" w:eastAsia="zh-CN"/>
        </w:rPr>
        <w:t>with</w:t>
      </w:r>
      <w:r>
        <w:rPr>
          <w:rFonts w:hint="eastAsia" w:eastAsia="宋体"/>
        </w:rPr>
        <w:t xml:space="preserve"> different </w:t>
      </w:r>
      <w:r>
        <w:rPr>
          <w:rFonts w:hint="eastAsia" w:eastAsia="宋体"/>
          <w:lang w:val="en-US" w:eastAsia="zh-CN"/>
        </w:rPr>
        <w:t xml:space="preserve">center </w:t>
      </w:r>
      <w:r>
        <w:rPr>
          <w:rFonts w:hint="eastAsia" w:eastAsia="宋体"/>
        </w:rPr>
        <w:t xml:space="preserve">frequency </w:t>
      </w:r>
      <w:r>
        <w:rPr>
          <w:rFonts w:hint="eastAsia" w:eastAsia="宋体"/>
          <w:lang w:val="en-US" w:eastAsia="zh-CN"/>
        </w:rPr>
        <w:t xml:space="preserve">configured </w:t>
      </w:r>
      <w:r>
        <w:rPr>
          <w:rFonts w:hint="eastAsia" w:eastAsia="宋体"/>
        </w:rPr>
        <w:t xml:space="preserve">with </w:t>
      </w:r>
      <w:r>
        <w:rPr>
          <w:rFonts w:hint="eastAsia" w:eastAsia="宋体"/>
          <w:lang w:val="en-US" w:eastAsia="zh-CN"/>
        </w:rPr>
        <w:t>a</w:t>
      </w:r>
      <w:r>
        <w:rPr>
          <w:rFonts w:hint="eastAsia" w:eastAsia="宋体"/>
        </w:rPr>
        <w:t xml:space="preserve"> same PCI</w:t>
      </w:r>
    </w:p>
    <w:p>
      <w:pPr>
        <w:pStyle w:val="25"/>
        <w:keepNext w:val="0"/>
        <w:keepLines w:val="0"/>
        <w:pageBreakBefore w:val="0"/>
        <w:widowControl/>
        <w:numPr>
          <w:ilvl w:val="0"/>
          <w:numId w:val="5"/>
        </w:numPr>
        <w:kinsoku/>
        <w:wordWrap/>
        <w:overflowPunct/>
        <w:topLinePunct w:val="0"/>
        <w:autoSpaceDE/>
        <w:autoSpaceDN/>
        <w:bidi w:val="0"/>
        <w:adjustRightInd/>
        <w:snapToGrid w:val="0"/>
        <w:spacing w:after="181" w:after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SCS: Due to SCS of SSB</w:t>
      </w:r>
      <w:r>
        <w:rPr>
          <w:rFonts w:hint="eastAsia" w:cs="Times New Roman"/>
          <w:sz w:val="20"/>
          <w:szCs w:val="20"/>
          <w:lang w:val="en-US" w:eastAsia="zh-CN"/>
        </w:rPr>
        <w:t>s</w:t>
      </w:r>
      <w:r>
        <w:rPr>
          <w:rFonts w:hint="eastAsia" w:ascii="Times New Roman" w:hAnsi="Times New Roman" w:cs="Times New Roman"/>
          <w:sz w:val="20"/>
          <w:szCs w:val="20"/>
          <w:lang w:val="en-US" w:eastAsia="zh-CN"/>
        </w:rPr>
        <w:t xml:space="preserve"> in different non-serving cells can be different, </w:t>
      </w:r>
      <w:r>
        <w:rPr>
          <w:rFonts w:hint="eastAsia" w:cs="Times New Roman"/>
          <w:sz w:val="20"/>
          <w:szCs w:val="20"/>
          <w:lang w:val="en-US" w:eastAsia="zh-CN"/>
        </w:rPr>
        <w:t>informing SCS can allow UE to determine  time domain and frequency domain of SSB.</w:t>
      </w:r>
    </w:p>
    <w:p>
      <w:pPr>
        <w:pStyle w:val="25"/>
        <w:keepNext w:val="0"/>
        <w:keepLines w:val="0"/>
        <w:pageBreakBefore w:val="0"/>
        <w:widowControl/>
        <w:numPr>
          <w:ilvl w:val="0"/>
          <w:numId w:val="5"/>
        </w:numPr>
        <w:kinsoku/>
        <w:wordWrap/>
        <w:overflowPunct/>
        <w:topLinePunct w:val="0"/>
        <w:autoSpaceDE/>
        <w:autoSpaceDN/>
        <w:bidi w:val="0"/>
        <w:adjustRightInd/>
        <w:snapToGrid w:val="0"/>
        <w:spacing w:after="181" w:after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SMTC: To assist UE </w:t>
      </w:r>
      <w:r>
        <w:rPr>
          <w:rFonts w:hint="eastAsia" w:cs="Times New Roman"/>
          <w:sz w:val="20"/>
          <w:szCs w:val="20"/>
          <w:lang w:val="en-US" w:eastAsia="zh-CN"/>
        </w:rPr>
        <w:t>detecting SSB in the valid time window</w:t>
      </w:r>
      <w:r>
        <w:rPr>
          <w:rFonts w:hint="eastAsia" w:ascii="Times New Roman" w:hAnsi="Times New Roman" w:cs="Times New Roman"/>
          <w:sz w:val="20"/>
          <w:szCs w:val="20"/>
          <w:lang w:val="en-US" w:eastAsia="zh-CN"/>
        </w:rPr>
        <w:t>.</w:t>
      </w:r>
    </w:p>
    <w:p>
      <w:pPr>
        <w:pStyle w:val="25"/>
        <w:keepNext w:val="0"/>
        <w:keepLines w:val="0"/>
        <w:numPr>
          <w:ilvl w:val="0"/>
          <w:numId w:val="5"/>
        </w:numPr>
        <w:snapToGrid w:val="0"/>
        <w:spacing w:after="181" w:afterLines="50"/>
        <w:jc w:val="both"/>
        <w:rPr>
          <w:szCs w:val="22"/>
          <w:lang w:eastAsia="en-GB"/>
        </w:rPr>
      </w:pPr>
      <w:r>
        <w:rPr>
          <w:rFonts w:hint="eastAsia" w:cs="Times New Roman"/>
          <w:sz w:val="20"/>
          <w:szCs w:val="20"/>
          <w:lang w:val="en-US" w:eastAsia="zh-CN"/>
        </w:rPr>
        <w:t>SNF offset</w:t>
      </w:r>
      <w:r>
        <w:rPr>
          <w:rFonts w:hint="eastAsia"/>
          <w:lang w:val="en-US" w:eastAsia="zh-CN"/>
        </w:rPr>
        <w:t xml:space="preserve"> related information</w:t>
      </w:r>
      <w:r>
        <w:rPr>
          <w:rFonts w:hint="eastAsia" w:cs="Times New Roman"/>
          <w:sz w:val="20"/>
          <w:szCs w:val="20"/>
          <w:lang w:val="en-US" w:eastAsia="zh-CN"/>
        </w:rPr>
        <w:t xml:space="preserve">: Based on the current specification, it is allowed that slot/subframe index of neighbor cells are not aligned. Thus, SFN offset should be indicated to inform </w:t>
      </w:r>
      <w:r>
        <w:rPr>
          <w:rFonts w:hint="eastAsia"/>
          <w:bCs w:val="0"/>
          <w:iCs w:val="0"/>
          <w:sz w:val="20"/>
          <w:szCs w:val="20"/>
        </w:rPr>
        <w:t>the time offset of the SFN0 for the</w:t>
      </w:r>
      <w:r>
        <w:rPr>
          <w:rFonts w:hint="eastAsia"/>
          <w:bCs w:val="0"/>
          <w:iCs w:val="0"/>
          <w:sz w:val="20"/>
          <w:szCs w:val="20"/>
          <w:lang w:val="en-US" w:eastAsia="zh-CN"/>
        </w:rPr>
        <w:t xml:space="preserve"> neighbor</w:t>
      </w:r>
      <w:r>
        <w:rPr>
          <w:rFonts w:hint="eastAsia"/>
          <w:bCs w:val="0"/>
          <w:iCs w:val="0"/>
          <w:sz w:val="20"/>
          <w:szCs w:val="20"/>
        </w:rPr>
        <w:t xml:space="preserve"> cell with respect to SFN0 of serving cell</w:t>
      </w:r>
      <w:r>
        <w:rPr>
          <w:rFonts w:hint="eastAsia"/>
          <w:bCs w:val="0"/>
          <w:iCs w:val="0"/>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181" w:afterLines="50"/>
        <w:ind w:leftChars="0"/>
        <w:jc w:val="both"/>
        <w:textAlignment w:val="auto"/>
        <w:rPr>
          <w:rFonts w:hint="default" w:eastAsia="宋体"/>
          <w:szCs w:val="20"/>
          <w:lang w:val="en-US" w:eastAsia="zh-CN"/>
        </w:rPr>
      </w:pPr>
      <w:r>
        <w:rPr>
          <w:rFonts w:hint="eastAsia" w:eastAsia="宋体"/>
          <w:szCs w:val="20"/>
          <w:lang w:val="en-US" w:eastAsia="zh-CN"/>
        </w:rPr>
        <w:t>In light of the above reasons, the following proposal is raised:</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eastAsia="宋体"/>
          <w:i/>
          <w:iCs/>
          <w:szCs w:val="20"/>
          <w:lang w:val="en-US" w:eastAsia="zh-CN"/>
        </w:rPr>
      </w:pPr>
      <w:r>
        <w:rPr>
          <w:rFonts w:hint="eastAsia"/>
          <w:b/>
          <w:bCs/>
          <w:i/>
          <w:iCs/>
          <w:lang w:val="en-US" w:eastAsia="zh-CN"/>
        </w:rPr>
        <w:t>Proposal 1:</w:t>
      </w:r>
      <w:r>
        <w:rPr>
          <w:rFonts w:hint="eastAsia"/>
          <w:i/>
          <w:iCs/>
          <w:lang w:val="en-US" w:eastAsia="zh-CN"/>
        </w:rPr>
        <w:t xml:space="preserve"> The information of non-serving cell SSB should at least includes </w:t>
      </w:r>
      <w:r>
        <w:rPr>
          <w:rFonts w:hint="eastAsia" w:eastAsia="宋体"/>
          <w:i/>
          <w:iCs/>
          <w:szCs w:val="20"/>
        </w:rPr>
        <w:t>PCI, center frequency, SCS</w:t>
      </w:r>
      <w:r>
        <w:rPr>
          <w:rFonts w:hint="eastAsia" w:eastAsia="宋体"/>
          <w:i/>
          <w:iCs/>
          <w:szCs w:val="20"/>
          <w:lang w:val="en-US" w:eastAsia="zh-CN"/>
        </w:rPr>
        <w:t>,</w:t>
      </w:r>
      <w:r>
        <w:rPr>
          <w:rFonts w:hint="eastAsia" w:eastAsia="宋体"/>
          <w:i/>
          <w:iCs/>
          <w:szCs w:val="20"/>
        </w:rPr>
        <w:t xml:space="preserve"> </w:t>
      </w:r>
      <w:r>
        <w:rPr>
          <w:rFonts w:hint="eastAsia" w:eastAsia="宋体"/>
          <w:i/>
          <w:iCs/>
          <w:szCs w:val="20"/>
          <w:lang w:val="en-US" w:eastAsia="zh-CN"/>
        </w:rPr>
        <w:t>SMTC, and SFN offset.</w:t>
      </w:r>
    </w:p>
    <w:p>
      <w:pPr>
        <w:pStyle w:val="3"/>
        <w:pageBreakBefore w:val="0"/>
        <w:kinsoku/>
        <w:wordWrap/>
        <w:overflowPunct/>
        <w:topLinePunct w:val="0"/>
        <w:bidi w:val="0"/>
        <w:snapToGrid w:val="0"/>
        <w:jc w:val="both"/>
        <w:textAlignment w:val="auto"/>
        <w:rPr>
          <w:rFonts w:hint="default" w:ascii="Arial" w:hAnsi="Arial" w:eastAsia="宋体" w:cs="Arial"/>
          <w:szCs w:val="22"/>
          <w:lang w:val="en-US" w:eastAsia="zh-CN"/>
        </w:rPr>
      </w:pPr>
      <w:r>
        <w:rPr>
          <w:rFonts w:hint="eastAsia" w:ascii="Arial" w:hAnsi="Arial" w:cs="Arial"/>
          <w:szCs w:val="22"/>
          <w:lang w:val="en-US" w:eastAsia="zh-CN"/>
        </w:rPr>
        <w:t>RRC configuration of non-serving cell information</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eastAsia="宋体"/>
          <w:lang w:val="en-US" w:eastAsia="zh-CN"/>
        </w:rPr>
      </w:pPr>
      <w:r>
        <w:rPr>
          <w:rFonts w:hint="eastAsia" w:eastAsia="宋体"/>
          <w:szCs w:val="20"/>
          <w:lang w:val="en-US" w:eastAsia="zh-CN"/>
        </w:rPr>
        <w:t xml:space="preserve">In last meeting, it was intensively discussed how to provide/configure the information of non-serving SSB. Finally, it was agreed that </w:t>
      </w:r>
      <w:r>
        <w:rPr>
          <w:i/>
        </w:rPr>
        <w:t>SSB-Configuration-r16</w:t>
      </w:r>
      <w:r>
        <w:t>/</w:t>
      </w:r>
      <w:r>
        <w:rPr>
          <w:i/>
        </w:rPr>
        <w:t>ssb-InfoNcell-r16</w:t>
      </w:r>
      <w:r>
        <w:t xml:space="preserve"> and/or </w:t>
      </w:r>
      <w:r>
        <w:rPr>
          <w:i/>
        </w:rPr>
        <w:t>MeasObject</w:t>
      </w:r>
      <w:r>
        <w:t xml:space="preserve"> can be </w:t>
      </w:r>
      <w:r>
        <w:rPr>
          <w:rFonts w:hint="eastAsia" w:eastAsia="宋体"/>
          <w:lang w:val="en-US" w:eastAsia="zh-CN"/>
        </w:rPr>
        <w:t xml:space="preserve">used as starting point to </w:t>
      </w:r>
      <w:r>
        <w:t>provid</w:t>
      </w:r>
      <w:r>
        <w:rPr>
          <w:rFonts w:hint="eastAsia" w:eastAsia="宋体"/>
          <w:lang w:val="en-US" w:eastAsia="zh-CN"/>
        </w:rPr>
        <w:t>e</w:t>
      </w:r>
      <w:r>
        <w:t xml:space="preserve"> </w:t>
      </w:r>
      <w:r>
        <w:rPr>
          <w:rFonts w:hint="eastAsia" w:eastAsia="宋体"/>
          <w:lang w:val="en-US" w:eastAsia="zh-CN"/>
        </w:rPr>
        <w:t>these</w:t>
      </w:r>
      <w:r>
        <w:t xml:space="preserve"> information</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eastAsia="宋体"/>
          <w:lang w:val="en-US" w:eastAsia="zh-CN"/>
        </w:rPr>
      </w:pPr>
      <w:r>
        <w:rPr>
          <w:rFonts w:hint="eastAsia" w:eastAsia="宋体"/>
          <w:lang w:val="en-US" w:eastAsia="zh-CN"/>
        </w:rPr>
        <w:t xml:space="preserve">To efficiently provide the neighbor cell information and make specification clearly, a new RRC IE can be introduced to contain all of the required information of a neighbor cell, and linked with some TCI states. </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eastAsia="宋体"/>
          <w:lang w:val="en-US" w:eastAsia="zh-CN"/>
        </w:rPr>
      </w:pPr>
      <w:r>
        <w:rPr>
          <w:rFonts w:hint="eastAsia" w:eastAsia="宋体"/>
          <w:lang w:val="en-US" w:eastAsia="zh-CN"/>
        </w:rPr>
        <w:t xml:space="preserve">Due to most of required neighbor cell information of SSB can be found in </w:t>
      </w:r>
      <w:r>
        <w:rPr>
          <w:rFonts w:hint="eastAsia" w:eastAsia="宋体"/>
          <w:i/>
          <w:iCs/>
          <w:szCs w:val="20"/>
        </w:rPr>
        <w:t>MeasObjectNR</w:t>
      </w:r>
      <w:r>
        <w:rPr>
          <w:rFonts w:hint="eastAsia" w:eastAsia="宋体"/>
          <w:i w:val="0"/>
          <w:iCs w:val="0"/>
          <w:szCs w:val="20"/>
          <w:lang w:val="en-US" w:eastAsia="zh-CN"/>
        </w:rPr>
        <w:t xml:space="preserve">(e.g. </w:t>
      </w:r>
      <w:r>
        <w:rPr>
          <w:rFonts w:hint="eastAsia" w:eastAsia="宋体"/>
          <w:szCs w:val="20"/>
        </w:rPr>
        <w:t xml:space="preserve">PCIs of multiple </w:t>
      </w:r>
      <w:r>
        <w:rPr>
          <w:rFonts w:hint="eastAsia" w:eastAsia="宋体"/>
          <w:szCs w:val="20"/>
          <w:lang w:val="en-US" w:eastAsia="zh-CN"/>
        </w:rPr>
        <w:t xml:space="preserve">non-serving </w:t>
      </w:r>
      <w:r>
        <w:rPr>
          <w:rFonts w:hint="eastAsia" w:eastAsia="宋体"/>
          <w:szCs w:val="20"/>
        </w:rPr>
        <w:t xml:space="preserve">cells, </w:t>
      </w:r>
      <w:r>
        <w:t>ARFCN-ValueNR</w:t>
      </w:r>
      <w:r>
        <w:rPr>
          <w:rFonts w:hint="eastAsia" w:eastAsia="宋体"/>
        </w:rPr>
        <w:t xml:space="preserve"> for center frequency, SCS, </w:t>
      </w:r>
      <w:r>
        <w:rPr>
          <w:rFonts w:hint="eastAsia" w:eastAsia="宋体"/>
          <w:lang w:val="en-US" w:eastAsia="zh-CN"/>
        </w:rPr>
        <w:t xml:space="preserve">SMTC and </w:t>
      </w:r>
      <w:r>
        <w:rPr>
          <w:rFonts w:hint="eastAsia" w:eastAsia="宋体"/>
          <w:i/>
          <w:iCs/>
          <w:lang w:val="en-US" w:eastAsia="zh-CN"/>
        </w:rPr>
        <w:t>deriveSSB-IndexFromCell</w:t>
      </w:r>
      <w:r>
        <w:rPr>
          <w:rFonts w:hint="eastAsia" w:eastAsia="宋体"/>
          <w:lang w:val="en-US" w:eastAsia="zh-CN"/>
        </w:rPr>
        <w:t xml:space="preserve"> for SFN offset), </w:t>
      </w:r>
      <w:r>
        <w:rPr>
          <w:rFonts w:hint="eastAsia" w:eastAsia="宋体"/>
          <w:i w:val="0"/>
          <w:iCs w:val="0"/>
          <w:szCs w:val="20"/>
          <w:lang w:val="en-US" w:eastAsia="zh-CN"/>
        </w:rPr>
        <w:t xml:space="preserve">the </w:t>
      </w:r>
      <w:r>
        <w:rPr>
          <w:rFonts w:eastAsia="宋体"/>
          <w:i/>
          <w:iCs/>
          <w:szCs w:val="20"/>
        </w:rPr>
        <w:t>MeasObjectI</w:t>
      </w:r>
      <w:r>
        <w:rPr>
          <w:rFonts w:hint="eastAsia" w:eastAsia="宋体"/>
          <w:i/>
          <w:iCs/>
          <w:szCs w:val="20"/>
          <w:lang w:val="en-US" w:eastAsia="zh-CN"/>
        </w:rPr>
        <w:t>d</w:t>
      </w:r>
      <w:r>
        <w:rPr>
          <w:rFonts w:hint="eastAsia" w:eastAsia="宋体"/>
          <w:i w:val="0"/>
          <w:iCs w:val="0"/>
          <w:szCs w:val="20"/>
          <w:lang w:val="en-US" w:eastAsia="zh-CN"/>
        </w:rPr>
        <w:t xml:space="preserve"> and PCI can be included in the new IE to identify a unique SSB from the desired neighbor cell and for saving RRC overhead. </w:t>
      </w:r>
      <w:r>
        <w:rPr>
          <w:rFonts w:hint="eastAsia" w:eastAsia="宋体"/>
          <w:lang w:val="en-US" w:eastAsia="zh-CN"/>
        </w:rPr>
        <w:t>D</w:t>
      </w:r>
      <w:r>
        <w:rPr>
          <w:rFonts w:hint="eastAsia" w:eastAsia="宋体"/>
          <w:szCs w:val="20"/>
          <w:lang w:val="en-US" w:eastAsia="zh-CN"/>
        </w:rPr>
        <w:t xml:space="preserve">ue to </w:t>
      </w:r>
      <w:r>
        <w:rPr>
          <w:rFonts w:hint="eastAsia" w:eastAsia="宋体"/>
          <w:i/>
          <w:iCs/>
          <w:szCs w:val="20"/>
        </w:rPr>
        <w:t>MeasObjectNR</w:t>
      </w:r>
      <w:r>
        <w:rPr>
          <w:rFonts w:hint="eastAsia" w:eastAsia="宋体"/>
          <w:szCs w:val="20"/>
        </w:rPr>
        <w:t xml:space="preserve"> for mobility measurement are always configured in RRC connect</w:t>
      </w:r>
      <w:r>
        <w:rPr>
          <w:rFonts w:hint="eastAsia" w:eastAsia="宋体"/>
          <w:szCs w:val="20"/>
          <w:lang w:val="en-US" w:eastAsia="zh-CN"/>
        </w:rPr>
        <w:t>ed</w:t>
      </w:r>
      <w:r>
        <w:rPr>
          <w:rFonts w:hint="eastAsia" w:eastAsia="宋体"/>
          <w:szCs w:val="20"/>
        </w:rPr>
        <w:t xml:space="preserve"> state</w:t>
      </w:r>
      <w:r>
        <w:rPr>
          <w:rFonts w:hint="eastAsia" w:eastAsia="宋体"/>
          <w:szCs w:val="20"/>
          <w:lang w:val="en-US" w:eastAsia="zh-CN"/>
        </w:rPr>
        <w:t>, it makes no sense to repeatedly configure all above non-serving cell information</w:t>
      </w:r>
      <w:r>
        <w:rPr>
          <w:rFonts w:hint="eastAsia" w:eastAsia="宋体" w:cs="Times"/>
          <w:lang w:val="en-US" w:eastAsia="zh-CN"/>
        </w:rPr>
        <w:t xml:space="preserve">. </w:t>
      </w:r>
      <w:r>
        <w:rPr>
          <w:rFonts w:hint="eastAsia" w:eastAsia="宋体"/>
          <w:szCs w:val="20"/>
        </w:rPr>
        <w:t xml:space="preserve">Thus, </w:t>
      </w:r>
      <w:r>
        <w:rPr>
          <w:rFonts w:hint="eastAsia" w:eastAsia="宋体"/>
          <w:szCs w:val="20"/>
          <w:lang w:val="en-US" w:eastAsia="zh-CN"/>
        </w:rPr>
        <w:t xml:space="preserve">it is efficient to use </w:t>
      </w:r>
      <w:r>
        <w:rPr>
          <w:i/>
          <w:iCs/>
        </w:rPr>
        <w:t>MeasObjectId</w:t>
      </w:r>
      <w:r>
        <w:rPr>
          <w:rFonts w:hint="eastAsia" w:eastAsia="宋体"/>
          <w:i/>
          <w:iCs/>
        </w:rPr>
        <w:t xml:space="preserve"> </w:t>
      </w:r>
      <w:r>
        <w:rPr>
          <w:rFonts w:hint="eastAsia" w:eastAsia="宋体"/>
        </w:rPr>
        <w:t>and PCI</w:t>
      </w:r>
      <w:r>
        <w:rPr>
          <w:rFonts w:hint="eastAsia" w:eastAsia="宋体"/>
          <w:lang w:val="en-US" w:eastAsia="zh-CN"/>
        </w:rPr>
        <w:t xml:space="preserve"> to provide the non-serving information. Furthermore, some other required information besides </w:t>
      </w:r>
      <w:r>
        <w:rPr>
          <w:i/>
          <w:iCs/>
        </w:rPr>
        <w:t>MeasObjectId</w:t>
      </w:r>
      <w:r>
        <w:rPr>
          <w:rFonts w:hint="eastAsia" w:eastAsia="宋体"/>
          <w:i/>
          <w:iCs/>
        </w:rPr>
        <w:t xml:space="preserve"> </w:t>
      </w:r>
      <w:r>
        <w:rPr>
          <w:rFonts w:hint="eastAsia" w:eastAsia="宋体"/>
        </w:rPr>
        <w:t>and PCI</w:t>
      </w:r>
      <w:r>
        <w:rPr>
          <w:rFonts w:hint="eastAsia" w:eastAsia="宋体"/>
          <w:lang w:val="en-US" w:eastAsia="zh-CN"/>
        </w:rPr>
        <w:t xml:space="preserve"> can be also included in the new ID. </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default" w:eastAsia="宋体"/>
          <w:lang w:val="en-US" w:eastAsia="zh-CN"/>
        </w:rPr>
      </w:pPr>
      <w:r>
        <w:rPr>
          <w:rFonts w:hint="eastAsia" w:eastAsia="宋体"/>
          <w:lang w:val="en-US" w:eastAsia="zh-CN"/>
        </w:rPr>
        <w:t>To summarize, we support the following proposal.</w:t>
      </w:r>
    </w:p>
    <w:p>
      <w:pPr>
        <w:keepNext w:val="0"/>
        <w:keepLines w:val="0"/>
        <w:pageBreakBefore w:val="0"/>
        <w:widowControl/>
        <w:kinsoku/>
        <w:wordWrap/>
        <w:overflowPunct/>
        <w:topLinePunct w:val="0"/>
        <w:autoSpaceDE/>
        <w:autoSpaceDN/>
        <w:bidi w:val="0"/>
        <w:adjustRightInd/>
        <w:snapToGrid w:val="0"/>
        <w:spacing w:before="181" w:beforeLines="50"/>
        <w:jc w:val="both"/>
        <w:textAlignment w:val="auto"/>
        <w:rPr>
          <w:rFonts w:hint="eastAsia"/>
          <w:i/>
          <w:iCs/>
          <w:lang w:val="en-US" w:eastAsia="zh-CN"/>
        </w:rPr>
      </w:pPr>
      <w:r>
        <w:rPr>
          <w:rFonts w:hint="eastAsia"/>
          <w:b/>
          <w:bCs/>
          <w:i/>
          <w:iCs/>
          <w:lang w:val="en-US" w:eastAsia="zh-CN"/>
        </w:rPr>
        <w:t>Proposal 2:</w:t>
      </w:r>
      <w:r>
        <w:rPr>
          <w:rFonts w:hint="eastAsia"/>
          <w:i/>
          <w:iCs/>
          <w:lang w:val="en-US" w:eastAsia="zh-CN"/>
        </w:rPr>
        <w:t xml:space="preserve"> Support to introduce a new RRC IE linking with some TCI states. </w:t>
      </w:r>
    </w:p>
    <w:p>
      <w:pPr>
        <w:keepNext w:val="0"/>
        <w:keepLines w:val="0"/>
        <w:pageBreakBefore w:val="0"/>
        <w:widowControl/>
        <w:numPr>
          <w:ilvl w:val="0"/>
          <w:numId w:val="6"/>
        </w:numPr>
        <w:kinsoku/>
        <w:wordWrap/>
        <w:overflowPunct/>
        <w:topLinePunct w:val="0"/>
        <w:autoSpaceDE/>
        <w:autoSpaceDN/>
        <w:bidi w:val="0"/>
        <w:adjustRightInd/>
        <w:snapToGrid w:val="0"/>
        <w:spacing w:after="181" w:afterLines="50"/>
        <w:ind w:left="839" w:hanging="420"/>
        <w:jc w:val="both"/>
        <w:textAlignment w:val="auto"/>
        <w:rPr>
          <w:rFonts w:hint="eastAsia" w:eastAsia="宋体"/>
          <w:i/>
          <w:iCs/>
        </w:rPr>
      </w:pPr>
      <w:r>
        <w:rPr>
          <w:rFonts w:hint="eastAsia"/>
          <w:i/>
          <w:iCs/>
          <w:lang w:val="en-US" w:eastAsia="zh-CN"/>
        </w:rPr>
        <w:t>At least</w:t>
      </w:r>
      <w:r>
        <w:rPr>
          <w:rFonts w:hint="eastAsia" w:eastAsia="宋体"/>
          <w:i/>
          <w:iCs/>
          <w:lang w:val="en-US" w:eastAsia="zh-CN"/>
        </w:rPr>
        <w:t xml:space="preserve"> </w:t>
      </w:r>
      <w:r>
        <w:rPr>
          <w:i/>
          <w:iCs/>
        </w:rPr>
        <w:t>MeasObjectId</w:t>
      </w:r>
      <w:r>
        <w:rPr>
          <w:rFonts w:hint="eastAsia" w:eastAsia="宋体"/>
          <w:i/>
          <w:iCs/>
        </w:rPr>
        <w:t xml:space="preserve"> and PCI </w:t>
      </w:r>
      <w:r>
        <w:rPr>
          <w:rFonts w:hint="eastAsia" w:eastAsia="宋体"/>
          <w:i/>
          <w:iCs/>
          <w:lang w:val="en-US" w:eastAsia="zh-CN"/>
        </w:rPr>
        <w:t>should be contained in the new IE</w:t>
      </w:r>
      <w:r>
        <w:rPr>
          <w:rFonts w:hint="eastAsia" w:eastAsia="宋体"/>
          <w:i/>
          <w:iCs/>
        </w:rPr>
        <w:t>.</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eastAsia="宋体"/>
          <w:color w:val="000000" w:themeColor="text1"/>
          <w:szCs w:val="20"/>
          <w14:textFill>
            <w14:solidFill>
              <w14:schemeClr w14:val="tx1"/>
            </w14:solidFill>
          </w14:textFill>
        </w:rPr>
      </w:pPr>
      <w:r>
        <w:rPr>
          <w:rFonts w:hint="eastAsia" w:eastAsia="宋体"/>
          <w:color w:val="000000" w:themeColor="text1"/>
          <w:szCs w:val="20"/>
          <w:lang w:val="en-US" w:eastAsia="zh-CN"/>
          <w14:textFill>
            <w14:solidFill>
              <w14:schemeClr w14:val="tx1"/>
            </w14:solidFill>
          </w14:textFill>
        </w:rPr>
        <w:t>In addition, this agenda is f</w:t>
      </w:r>
      <w:r>
        <w:rPr>
          <w:rFonts w:hint="eastAsia" w:eastAsia="宋体"/>
          <w:color w:val="000000" w:themeColor="text1"/>
          <w:szCs w:val="20"/>
          <w14:textFill>
            <w14:solidFill>
              <w14:schemeClr w14:val="tx1"/>
            </w14:solidFill>
          </w14:textFill>
        </w:rPr>
        <w:t xml:space="preserve">or multi-DCI based </w:t>
      </w:r>
      <w:r>
        <w:rPr>
          <w:rFonts w:hint="eastAsia" w:eastAsia="宋体"/>
          <w:color w:val="000000" w:themeColor="text1"/>
          <w:szCs w:val="20"/>
          <w:lang w:val="en-US" w:eastAsia="zh-CN"/>
          <w14:textFill>
            <w14:solidFill>
              <w14:schemeClr w14:val="tx1"/>
            </w14:solidFill>
          </w14:textFill>
        </w:rPr>
        <w:t>M</w:t>
      </w:r>
      <w:r>
        <w:rPr>
          <w:rFonts w:hint="eastAsia" w:eastAsia="宋体"/>
          <w:color w:val="000000" w:themeColor="text1"/>
          <w:szCs w:val="20"/>
          <w14:textFill>
            <w14:solidFill>
              <w14:schemeClr w14:val="tx1"/>
            </w14:solidFill>
          </w14:textFill>
        </w:rPr>
        <w:t>ulti-TRP operation, the maximum number of TRPs is two</w:t>
      </w:r>
      <w:r>
        <w:rPr>
          <w:rFonts w:eastAsia="宋体"/>
          <w:color w:val="000000" w:themeColor="text1"/>
          <w:szCs w:val="20"/>
          <w14:textFill>
            <w14:solidFill>
              <w14:schemeClr w14:val="tx1"/>
            </w14:solidFill>
          </w14:textFill>
        </w:rPr>
        <w:t>.</w:t>
      </w:r>
      <w:r>
        <w:rPr>
          <w:rFonts w:hint="eastAsia" w:eastAsia="宋体"/>
          <w:color w:val="000000" w:themeColor="text1"/>
          <w:szCs w:val="20"/>
          <w14:textFill>
            <w14:solidFill>
              <w14:schemeClr w14:val="tx1"/>
            </w14:solidFill>
          </w14:textFill>
        </w:rPr>
        <w:t xml:space="preserve"> </w:t>
      </w:r>
      <w:r>
        <w:rPr>
          <w:rFonts w:hint="eastAsia" w:eastAsia="宋体"/>
          <w:color w:val="000000" w:themeColor="text1"/>
          <w:szCs w:val="20"/>
          <w:lang w:val="en-US" w:eastAsia="zh-CN"/>
          <w14:textFill>
            <w14:solidFill>
              <w14:schemeClr w14:val="tx1"/>
            </w14:solidFill>
          </w14:textFill>
        </w:rPr>
        <w:t>For</w:t>
      </w:r>
      <w:r>
        <w:rPr>
          <w:rFonts w:hint="eastAsia" w:eastAsia="宋体"/>
          <w:color w:val="000000" w:themeColor="text1"/>
          <w:szCs w:val="20"/>
          <w14:textFill>
            <w14:solidFill>
              <w14:schemeClr w14:val="tx1"/>
            </w14:solidFill>
          </w14:textFill>
        </w:rPr>
        <w:t xml:space="preserve"> </w:t>
      </w:r>
      <w:r>
        <w:rPr>
          <w:rFonts w:hint="eastAsia" w:eastAsia="宋体"/>
          <w:color w:val="000000" w:themeColor="text1"/>
          <w:szCs w:val="20"/>
          <w:lang w:val="en-US" w:eastAsia="zh-CN"/>
          <w14:textFill>
            <w14:solidFill>
              <w14:schemeClr w14:val="tx1"/>
            </w14:solidFill>
          </w14:textFill>
        </w:rPr>
        <w:t xml:space="preserve">Multi-TRP </w:t>
      </w:r>
      <w:r>
        <w:rPr>
          <w:rFonts w:eastAsia="宋体"/>
          <w:color w:val="000000" w:themeColor="text1"/>
          <w:szCs w:val="20"/>
          <w14:textFill>
            <w14:solidFill>
              <w14:schemeClr w14:val="tx1"/>
            </w14:solidFill>
          </w14:textFill>
        </w:rPr>
        <w:t xml:space="preserve">inter-cell deployment, </w:t>
      </w:r>
      <w:r>
        <w:rPr>
          <w:rFonts w:hint="eastAsia" w:eastAsia="宋体"/>
          <w:color w:val="000000" w:themeColor="text1"/>
          <w:szCs w:val="20"/>
          <w14:textFill>
            <w14:solidFill>
              <w14:schemeClr w14:val="tx1"/>
            </w14:solidFill>
          </w14:textFill>
        </w:rPr>
        <w:t xml:space="preserve">it is natural that one </w:t>
      </w:r>
      <w:r>
        <w:rPr>
          <w:rFonts w:hint="eastAsia" w:eastAsia="宋体"/>
          <w:color w:val="000000" w:themeColor="text1"/>
          <w:szCs w:val="20"/>
          <w:lang w:val="en-US" w:eastAsia="zh-CN"/>
          <w14:textFill>
            <w14:solidFill>
              <w14:schemeClr w14:val="tx1"/>
            </w14:solidFill>
          </w14:textFill>
        </w:rPr>
        <w:t xml:space="preserve">out </w:t>
      </w:r>
      <w:r>
        <w:rPr>
          <w:rFonts w:hint="eastAsia" w:eastAsia="宋体"/>
          <w:color w:val="000000" w:themeColor="text1"/>
          <w:szCs w:val="20"/>
          <w14:textFill>
            <w14:solidFill>
              <w14:schemeClr w14:val="tx1"/>
            </w14:solidFill>
          </w14:textFill>
        </w:rPr>
        <w:t xml:space="preserve">of the two TRPs </w:t>
      </w:r>
      <w:r>
        <w:rPr>
          <w:rFonts w:eastAsia="宋体"/>
          <w:color w:val="000000" w:themeColor="text1"/>
          <w:szCs w:val="20"/>
          <w14:textFill>
            <w14:solidFill>
              <w14:schemeClr w14:val="tx1"/>
            </w14:solidFill>
          </w14:textFill>
        </w:rPr>
        <w:t xml:space="preserve">is </w:t>
      </w:r>
      <w:r>
        <w:rPr>
          <w:rFonts w:hint="eastAsia" w:eastAsia="宋体"/>
          <w:color w:val="000000" w:themeColor="text1"/>
          <w:szCs w:val="20"/>
          <w14:textFill>
            <w14:solidFill>
              <w14:schemeClr w14:val="tx1"/>
            </w14:solidFill>
          </w14:textFill>
        </w:rPr>
        <w:t>deployed in the serving cell, and the other TRP</w:t>
      </w:r>
      <w:r>
        <w:rPr>
          <w:rFonts w:eastAsia="宋体"/>
          <w:color w:val="000000" w:themeColor="text1"/>
          <w:szCs w:val="20"/>
          <w14:textFill>
            <w14:solidFill>
              <w14:schemeClr w14:val="tx1"/>
            </w14:solidFill>
          </w14:textFill>
        </w:rPr>
        <w:t xml:space="preserve"> is</w:t>
      </w:r>
      <w:r>
        <w:rPr>
          <w:rFonts w:hint="eastAsia" w:eastAsia="宋体"/>
          <w:color w:val="000000" w:themeColor="text1"/>
          <w:szCs w:val="20"/>
          <w14:textFill>
            <w14:solidFill>
              <w14:schemeClr w14:val="tx1"/>
            </w14:solidFill>
          </w14:textFill>
        </w:rPr>
        <w:t xml:space="preserve"> deployed in the neighbor cell </w:t>
      </w:r>
      <w:r>
        <w:rPr>
          <w:rFonts w:hint="eastAsia" w:eastAsia="宋体"/>
          <w:color w:val="000000" w:themeColor="text1"/>
          <w:szCs w:val="20"/>
          <w:lang w:val="en-US" w:eastAsia="zh-CN"/>
          <w14:textFill>
            <w14:solidFill>
              <w14:schemeClr w14:val="tx1"/>
            </w14:solidFill>
          </w14:textFill>
        </w:rPr>
        <w:t xml:space="preserve">as </w:t>
      </w:r>
      <w:r>
        <w:rPr>
          <w:rFonts w:hint="eastAsia" w:eastAsia="宋体"/>
          <w:color w:val="000000" w:themeColor="text1"/>
          <w:szCs w:val="20"/>
          <w14:textFill>
            <w14:solidFill>
              <w14:schemeClr w14:val="tx1"/>
            </w14:solidFill>
          </w14:textFill>
        </w:rPr>
        <w:t>shown in Figure 2.</w:t>
      </w:r>
    </w:p>
    <w:p>
      <w:pPr>
        <w:pageBreakBefore w:val="0"/>
        <w:kinsoku/>
        <w:wordWrap/>
        <w:overflowPunct/>
        <w:topLinePunct w:val="0"/>
        <w:bidi w:val="0"/>
        <w:snapToGrid w:val="0"/>
        <w:spacing w:before="180" w:beforeLines="50" w:after="180" w:afterLines="50"/>
        <w:jc w:val="center"/>
        <w:textAlignment w:val="auto"/>
        <w:rPr>
          <w:szCs w:val="20"/>
        </w:rPr>
      </w:pPr>
      <w:r>
        <w:rPr>
          <w:szCs w:val="20"/>
        </w:rPr>
        <w:drawing>
          <wp:inline distT="0" distB="0" distL="114300" distR="114300">
            <wp:extent cx="4317365" cy="1435100"/>
            <wp:effectExtent l="0" t="0" r="63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tretch>
                      <a:fillRect/>
                    </a:stretch>
                  </pic:blipFill>
                  <pic:spPr>
                    <a:xfrm>
                      <a:off x="0" y="0"/>
                      <a:ext cx="4317365" cy="1435100"/>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jc w:val="center"/>
        <w:textAlignment w:val="auto"/>
        <w:rPr>
          <w:rFonts w:eastAsia="宋体"/>
          <w:szCs w:val="20"/>
        </w:rPr>
      </w:pPr>
      <w:r>
        <w:rPr>
          <w:rFonts w:hint="eastAsia" w:eastAsia="宋体"/>
          <w:b/>
          <w:bCs/>
          <w:szCs w:val="20"/>
        </w:rPr>
        <w:t>Figure 2</w:t>
      </w:r>
      <w:r>
        <w:rPr>
          <w:rFonts w:hint="eastAsia" w:eastAsia="宋体"/>
          <w:b/>
          <w:bCs/>
          <w:szCs w:val="20"/>
          <w:lang w:val="en-US" w:eastAsia="zh-CN"/>
        </w:rPr>
        <w:t>:</w:t>
      </w:r>
      <w:r>
        <w:rPr>
          <w:rFonts w:hint="eastAsia" w:eastAsia="宋体"/>
          <w:szCs w:val="20"/>
        </w:rPr>
        <w:tab/>
      </w:r>
      <w:r>
        <w:rPr>
          <w:rFonts w:hint="eastAsia" w:eastAsia="宋体"/>
          <w:szCs w:val="20"/>
        </w:rPr>
        <w:t>UE receives SSBs from serving cell and neighbor cell of Multi-TRP inter-cell operation</w:t>
      </w:r>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Fonts w:eastAsia="宋体"/>
          <w:color w:val="000000" w:themeColor="text1"/>
          <w:szCs w:val="20"/>
          <w:highlight w:val="none"/>
          <w14:textFill>
            <w14:solidFill>
              <w14:schemeClr w14:val="tx1"/>
            </w14:solidFill>
          </w14:textFill>
        </w:rPr>
      </w:pPr>
      <w:r>
        <w:rPr>
          <w:rFonts w:hint="eastAsia" w:eastAsia="宋体"/>
          <w:color w:val="000000" w:themeColor="text1"/>
          <w:sz w:val="20"/>
          <w:szCs w:val="20"/>
          <w:highlight w:val="none"/>
          <w14:textFill>
            <w14:solidFill>
              <w14:schemeClr w14:val="tx1"/>
            </w14:solidFill>
          </w14:textFill>
        </w:rPr>
        <w:t xml:space="preserve">In order to support </w:t>
      </w:r>
      <w:r>
        <w:rPr>
          <w:color w:val="000000" w:themeColor="text1"/>
          <w:szCs w:val="20"/>
          <w:highlight w:val="none"/>
          <w:lang w:eastAsia="ko-KR"/>
          <w14:textFill>
            <w14:solidFill>
              <w14:schemeClr w14:val="tx1"/>
            </w14:solidFill>
          </w14:textFill>
        </w:rPr>
        <w:t>the utilization of SSBs</w:t>
      </w:r>
      <w:r>
        <w:rPr>
          <w:rFonts w:hint="eastAsia" w:eastAsia="宋体"/>
          <w:color w:val="000000" w:themeColor="text1"/>
          <w:szCs w:val="20"/>
          <w:highlight w:val="none"/>
          <w14:textFill>
            <w14:solidFill>
              <w14:schemeClr w14:val="tx1"/>
            </w14:solidFill>
          </w14:textFill>
        </w:rPr>
        <w:t xml:space="preserve"> </w:t>
      </w:r>
      <w:r>
        <w:rPr>
          <w:color w:val="000000" w:themeColor="text1"/>
          <w:szCs w:val="20"/>
          <w:highlight w:val="none"/>
          <w:lang w:eastAsia="ko-KR"/>
          <w14:textFill>
            <w14:solidFill>
              <w14:schemeClr w14:val="tx1"/>
            </w14:solidFill>
          </w14:textFill>
        </w:rPr>
        <w:t xml:space="preserve">from the </w:t>
      </w:r>
      <w:r>
        <w:rPr>
          <w:rFonts w:hint="eastAsia" w:eastAsia="宋体"/>
          <w:color w:val="000000" w:themeColor="text1"/>
          <w:szCs w:val="20"/>
          <w:highlight w:val="none"/>
          <w14:textFill>
            <w14:solidFill>
              <w14:schemeClr w14:val="tx1"/>
            </w14:solidFill>
          </w14:textFill>
        </w:rPr>
        <w:t>neighbor cell</w:t>
      </w:r>
      <w:r>
        <w:rPr>
          <w:color w:val="000000" w:themeColor="text1"/>
          <w:szCs w:val="20"/>
          <w:highlight w:val="none"/>
          <w:lang w:eastAsia="ko-KR"/>
          <w14:textFill>
            <w14:solidFill>
              <w14:schemeClr w14:val="tx1"/>
            </w14:solidFill>
          </w14:textFill>
        </w:rPr>
        <w:t xml:space="preserve"> TRP</w:t>
      </w:r>
      <w:r>
        <w:rPr>
          <w:rFonts w:hint="eastAsia" w:eastAsia="宋体"/>
          <w:color w:val="000000" w:themeColor="text1"/>
          <w:szCs w:val="20"/>
          <w:highlight w:val="none"/>
          <w14:textFill>
            <w14:solidFill>
              <w14:schemeClr w14:val="tx1"/>
            </w14:solidFill>
          </w14:textFill>
        </w:rPr>
        <w:t xml:space="preserve"> </w:t>
      </w:r>
      <w:r>
        <w:rPr>
          <w:color w:val="000000" w:themeColor="text1"/>
          <w:szCs w:val="20"/>
          <w:highlight w:val="none"/>
          <w:lang w:eastAsia="ko-KR"/>
          <w14:textFill>
            <w14:solidFill>
              <w14:schemeClr w14:val="tx1"/>
            </w14:solidFill>
          </w14:textFill>
        </w:rPr>
        <w:t>as the QCL source</w:t>
      </w:r>
      <w:r>
        <w:rPr>
          <w:rFonts w:hint="eastAsia" w:eastAsia="宋体"/>
          <w:color w:val="000000" w:themeColor="text1"/>
          <w:szCs w:val="20"/>
          <w:highlight w:val="none"/>
          <w14:textFill>
            <w14:solidFill>
              <w14:schemeClr w14:val="tx1"/>
            </w14:solidFill>
          </w14:textFill>
        </w:rPr>
        <w:t xml:space="preserve">, all TCI states should be split into two groups, </w:t>
      </w:r>
      <w:r>
        <w:rPr>
          <w:rFonts w:eastAsia="宋体"/>
          <w:color w:val="000000" w:themeColor="text1"/>
          <w:szCs w:val="20"/>
          <w:highlight w:val="none"/>
          <w14:textFill>
            <w14:solidFill>
              <w14:schemeClr w14:val="tx1"/>
            </w14:solidFill>
          </w14:textFill>
        </w:rPr>
        <w:t>where each of them is</w:t>
      </w:r>
      <w:r>
        <w:rPr>
          <w:rFonts w:hint="eastAsia" w:eastAsia="宋体"/>
          <w:color w:val="000000" w:themeColor="text1"/>
          <w:szCs w:val="20"/>
          <w:highlight w:val="none"/>
          <w14:textFill>
            <w14:solidFill>
              <w14:schemeClr w14:val="tx1"/>
            </w14:solidFill>
          </w14:textFill>
        </w:rPr>
        <w:t xml:space="preserve"> associated with serving cell </w:t>
      </w:r>
      <w:r>
        <w:rPr>
          <w:rFonts w:eastAsia="宋体"/>
          <w:color w:val="000000" w:themeColor="text1"/>
          <w:szCs w:val="20"/>
          <w:highlight w:val="none"/>
          <w14:textFill>
            <w14:solidFill>
              <w14:schemeClr w14:val="tx1"/>
            </w14:solidFill>
          </w14:textFill>
        </w:rPr>
        <w:t>or</w:t>
      </w:r>
      <w:r>
        <w:rPr>
          <w:rFonts w:hint="eastAsia" w:eastAsia="宋体"/>
          <w:color w:val="000000" w:themeColor="text1"/>
          <w:szCs w:val="20"/>
          <w:highlight w:val="none"/>
          <w14:textFill>
            <w14:solidFill>
              <w14:schemeClr w14:val="tx1"/>
            </w14:solidFill>
          </w14:textFill>
        </w:rPr>
        <w:t xml:space="preserve"> neighbor cell. Furthermore, in Rel-16 NR eMIMO, the parameter </w:t>
      </w:r>
      <w:r>
        <w:rPr>
          <w:rFonts w:hint="eastAsia" w:eastAsia="宋体"/>
          <w:i/>
          <w:iCs/>
          <w:color w:val="000000" w:themeColor="text1"/>
          <w:szCs w:val="20"/>
          <w:highlight w:val="none"/>
          <w14:textFill>
            <w14:solidFill>
              <w14:schemeClr w14:val="tx1"/>
            </w14:solidFill>
          </w14:textFill>
        </w:rPr>
        <w:t>CORESETPoolIndex</w:t>
      </w:r>
      <w:r>
        <w:rPr>
          <w:rFonts w:hint="eastAsia" w:eastAsia="宋体"/>
          <w:color w:val="000000" w:themeColor="text1"/>
          <w:szCs w:val="20"/>
          <w:highlight w:val="none"/>
          <w14:textFill>
            <w14:solidFill>
              <w14:schemeClr w14:val="tx1"/>
            </w14:solidFill>
          </w14:textFill>
        </w:rPr>
        <w:t xml:space="preserve"> has been introduced to support </w:t>
      </w:r>
      <w:r>
        <w:rPr>
          <w:rFonts w:eastAsia="宋体"/>
          <w:color w:val="000000" w:themeColor="text1"/>
          <w:szCs w:val="20"/>
          <w:highlight w:val="none"/>
          <w14:textFill>
            <w14:solidFill>
              <w14:schemeClr w14:val="tx1"/>
            </w14:solidFill>
          </w14:textFill>
        </w:rPr>
        <w:t xml:space="preserve">multi-DCI based </w:t>
      </w:r>
      <w:r>
        <w:rPr>
          <w:rFonts w:hint="eastAsia" w:eastAsia="宋体"/>
          <w:color w:val="000000" w:themeColor="text1"/>
          <w:szCs w:val="20"/>
          <w:highlight w:val="none"/>
          <w:lang w:val="en-US" w:eastAsia="zh-CN"/>
          <w14:textFill>
            <w14:solidFill>
              <w14:schemeClr w14:val="tx1"/>
            </w14:solidFill>
          </w14:textFill>
        </w:rPr>
        <w:t>Multi-TRP</w:t>
      </w:r>
      <w:r>
        <w:rPr>
          <w:rFonts w:eastAsia="宋体"/>
          <w:color w:val="000000" w:themeColor="text1"/>
          <w:szCs w:val="20"/>
          <w:highlight w:val="none"/>
          <w14:textFill>
            <w14:solidFill>
              <w14:schemeClr w14:val="tx1"/>
            </w14:solidFill>
          </w14:textFill>
        </w:rPr>
        <w:t xml:space="preserve"> configurations, such as </w:t>
      </w:r>
      <w:r>
        <w:rPr>
          <w:rFonts w:hint="eastAsia" w:eastAsia="宋体"/>
          <w:color w:val="000000" w:themeColor="text1"/>
          <w:szCs w:val="20"/>
          <w:highlight w:val="none"/>
          <w14:textFill>
            <w14:solidFill>
              <w14:schemeClr w14:val="tx1"/>
            </w14:solidFill>
          </w14:textFill>
        </w:rPr>
        <w:t xml:space="preserve">separate HARQ-ACK, power control, etc. To better support </w:t>
      </w:r>
      <w:r>
        <w:rPr>
          <w:rFonts w:hint="eastAsia" w:eastAsia="宋体"/>
          <w:color w:val="000000" w:themeColor="text1"/>
          <w:szCs w:val="20"/>
          <w:highlight w:val="none"/>
          <w:lang w:val="en-US" w:eastAsia="zh-CN"/>
          <w14:textFill>
            <w14:solidFill>
              <w14:schemeClr w14:val="tx1"/>
            </w14:solidFill>
          </w14:textFill>
        </w:rPr>
        <w:t xml:space="preserve">Multi-TRP </w:t>
      </w:r>
      <w:r>
        <w:rPr>
          <w:rFonts w:hint="eastAsia" w:eastAsia="宋体"/>
          <w:color w:val="000000" w:themeColor="text1"/>
          <w:szCs w:val="20"/>
          <w:highlight w:val="none"/>
          <w14:textFill>
            <w14:solidFill>
              <w14:schemeClr w14:val="tx1"/>
            </w14:solidFill>
          </w14:textFill>
        </w:rPr>
        <w:t xml:space="preserve">inter-cell operation in NR Rel-17, the parameter </w:t>
      </w:r>
      <w:r>
        <w:rPr>
          <w:rFonts w:hint="eastAsia" w:eastAsia="宋体"/>
          <w:i/>
          <w:iCs/>
          <w:color w:val="000000" w:themeColor="text1"/>
          <w:szCs w:val="20"/>
          <w:highlight w:val="none"/>
          <w14:textFill>
            <w14:solidFill>
              <w14:schemeClr w14:val="tx1"/>
            </w14:solidFill>
          </w14:textFill>
        </w:rPr>
        <w:t xml:space="preserve">CORESETPoolIndex </w:t>
      </w:r>
      <w:r>
        <w:rPr>
          <w:rFonts w:hint="eastAsia" w:eastAsia="宋体"/>
          <w:color w:val="000000" w:themeColor="text1"/>
          <w:szCs w:val="20"/>
          <w:highlight w:val="none"/>
          <w14:textFill>
            <w14:solidFill>
              <w14:schemeClr w14:val="tx1"/>
            </w14:solidFill>
          </w14:textFill>
        </w:rPr>
        <w:t>should be associated with the TCI groups</w:t>
      </w:r>
      <w:r>
        <w:rPr>
          <w:rFonts w:hint="eastAsia" w:eastAsia="宋体"/>
          <w:color w:val="000000" w:themeColor="text1"/>
          <w:szCs w:val="20"/>
          <w:highlight w:val="none"/>
          <w:lang w:val="en-US" w:eastAsia="zh-CN"/>
          <w14:textFill>
            <w14:solidFill>
              <w14:schemeClr w14:val="tx1"/>
            </w14:solidFill>
          </w14:textFill>
        </w:rPr>
        <w:t xml:space="preserve"> for backward compatibility</w:t>
      </w:r>
      <w:r>
        <w:rPr>
          <w:rFonts w:hint="eastAsia" w:eastAsia="宋体"/>
          <w:color w:val="000000" w:themeColor="text1"/>
          <w:szCs w:val="20"/>
          <w:highlight w:val="none"/>
          <w14:textFill>
            <w14:solidFill>
              <w14:schemeClr w14:val="tx1"/>
            </w14:solidFill>
          </w14:textFill>
        </w:rPr>
        <w:t>. In more detail</w:t>
      </w:r>
      <w:r>
        <w:rPr>
          <w:rFonts w:hint="eastAsia" w:eastAsia="宋体"/>
          <w:color w:val="000000" w:themeColor="text1"/>
          <w:szCs w:val="20"/>
          <w:highlight w:val="none"/>
          <w:lang w:val="en-US" w:eastAsia="zh-CN"/>
          <w14:textFill>
            <w14:solidFill>
              <w14:schemeClr w14:val="tx1"/>
            </w14:solidFill>
          </w14:textFill>
        </w:rPr>
        <w:t>s</w:t>
      </w:r>
      <w:r>
        <w:rPr>
          <w:rFonts w:hint="eastAsia" w:eastAsia="宋体"/>
          <w:color w:val="000000" w:themeColor="text1"/>
          <w:szCs w:val="20"/>
          <w:highlight w:val="none"/>
          <w14:textFill>
            <w14:solidFill>
              <w14:schemeClr w14:val="tx1"/>
            </w14:solidFill>
          </w14:textFill>
        </w:rPr>
        <w:t xml:space="preserve">, </w:t>
      </w:r>
      <w:r>
        <w:rPr>
          <w:rFonts w:hint="eastAsia" w:eastAsia="宋体"/>
          <w:i/>
          <w:iCs/>
          <w:color w:val="000000" w:themeColor="text1"/>
          <w:szCs w:val="20"/>
          <w:highlight w:val="none"/>
          <w14:textFill>
            <w14:solidFill>
              <w14:schemeClr w14:val="tx1"/>
            </w14:solidFill>
          </w14:textFill>
        </w:rPr>
        <w:t>CORESETPoolIndex</w:t>
      </w:r>
      <w:r>
        <w:rPr>
          <w:rFonts w:hint="eastAsia" w:eastAsia="宋体"/>
          <w:color w:val="000000" w:themeColor="text1"/>
          <w:szCs w:val="20"/>
          <w:highlight w:val="none"/>
          <w14:textFill>
            <w14:solidFill>
              <w14:schemeClr w14:val="tx1"/>
            </w14:solidFill>
          </w14:textFill>
        </w:rPr>
        <w:t xml:space="preserve"> =</w:t>
      </w:r>
      <w:r>
        <w:rPr>
          <w:rFonts w:hint="eastAsia" w:eastAsia="宋体"/>
          <w:color w:val="000000" w:themeColor="text1"/>
          <w:szCs w:val="20"/>
          <w:highlight w:val="none"/>
          <w:lang w:val="en-US" w:eastAsia="zh-CN"/>
          <w14:textFill>
            <w14:solidFill>
              <w14:schemeClr w14:val="tx1"/>
            </w14:solidFill>
          </w14:textFill>
        </w:rPr>
        <w:t xml:space="preserve"> </w:t>
      </w:r>
      <w:r>
        <w:rPr>
          <w:rFonts w:hint="eastAsia" w:eastAsia="宋体"/>
          <w:color w:val="000000" w:themeColor="text1"/>
          <w:szCs w:val="20"/>
          <w:highlight w:val="none"/>
          <w14:textFill>
            <w14:solidFill>
              <w14:schemeClr w14:val="tx1"/>
            </w14:solidFill>
          </w14:textFill>
        </w:rPr>
        <w:t>0 corresponds to the serving cell</w:t>
      </w:r>
      <w:r>
        <w:rPr>
          <w:rFonts w:hint="eastAsia" w:eastAsia="宋体"/>
          <w:i/>
          <w:iCs/>
          <w:color w:val="000000" w:themeColor="text1"/>
          <w:szCs w:val="20"/>
          <w:highlight w:val="none"/>
          <w14:textFill>
            <w14:solidFill>
              <w14:schemeClr w14:val="tx1"/>
            </w14:solidFill>
          </w14:textFill>
        </w:rPr>
        <w:t xml:space="preserve"> and CORESETPoolIndex</w:t>
      </w:r>
      <w:r>
        <w:rPr>
          <w:rFonts w:hint="eastAsia" w:eastAsia="宋体"/>
          <w:color w:val="000000" w:themeColor="text1"/>
          <w:szCs w:val="20"/>
          <w:highlight w:val="none"/>
          <w14:textFill>
            <w14:solidFill>
              <w14:schemeClr w14:val="tx1"/>
            </w14:solidFill>
          </w14:textFill>
        </w:rPr>
        <w:t xml:space="preserve"> =</w:t>
      </w:r>
      <w:r>
        <w:rPr>
          <w:rFonts w:hint="eastAsia" w:eastAsia="宋体"/>
          <w:color w:val="000000" w:themeColor="text1"/>
          <w:szCs w:val="20"/>
          <w:highlight w:val="none"/>
          <w:lang w:val="en-US" w:eastAsia="zh-CN"/>
          <w14:textFill>
            <w14:solidFill>
              <w14:schemeClr w14:val="tx1"/>
            </w14:solidFill>
          </w14:textFill>
        </w:rPr>
        <w:t xml:space="preserve"> </w:t>
      </w:r>
      <w:r>
        <w:rPr>
          <w:rFonts w:hint="eastAsia" w:eastAsia="宋体"/>
          <w:color w:val="000000" w:themeColor="text1"/>
          <w:szCs w:val="20"/>
          <w:highlight w:val="none"/>
          <w14:textFill>
            <w14:solidFill>
              <w14:schemeClr w14:val="tx1"/>
            </w14:solidFill>
          </w14:textFill>
        </w:rPr>
        <w:t>1 corresponds to the neighbor cell.</w:t>
      </w:r>
      <w:r>
        <w:rPr>
          <w:rFonts w:eastAsia="宋体"/>
          <w:color w:val="000000" w:themeColor="text1"/>
          <w:szCs w:val="20"/>
          <w:highlight w:val="none"/>
          <w14:textFill>
            <w14:solidFill>
              <w14:schemeClr w14:val="tx1"/>
            </w14:solidFill>
          </w14:textFill>
        </w:rPr>
        <w:t xml:space="preserve"> </w:t>
      </w:r>
      <w:r>
        <w:rPr>
          <w:rFonts w:hint="eastAsia" w:eastAsia="宋体"/>
          <w:color w:val="000000" w:themeColor="text1"/>
          <w:szCs w:val="20"/>
          <w:highlight w:val="none"/>
          <w14:textFill>
            <w14:solidFill>
              <w14:schemeClr w14:val="tx1"/>
            </w14:solidFill>
          </w14:textFill>
        </w:rPr>
        <w:t>In this way</w:t>
      </w:r>
      <w:r>
        <w:rPr>
          <w:rFonts w:eastAsia="宋体"/>
          <w:color w:val="000000" w:themeColor="text1"/>
          <w:szCs w:val="20"/>
          <w:highlight w:val="none"/>
          <w14:textFill>
            <w14:solidFill>
              <w14:schemeClr w14:val="tx1"/>
            </w14:solidFill>
          </w14:textFill>
        </w:rPr>
        <w:t xml:space="preserve">, UE would </w:t>
      </w:r>
      <w:r>
        <w:rPr>
          <w:rFonts w:hint="eastAsia" w:eastAsia="宋体"/>
          <w:color w:val="000000" w:themeColor="text1"/>
          <w:szCs w:val="20"/>
          <w:highlight w:val="none"/>
          <w:lang w:val="en-US" w:eastAsia="zh-CN"/>
          <w14:textFill>
            <w14:solidFill>
              <w14:schemeClr w14:val="tx1"/>
            </w14:solidFill>
          </w14:textFill>
        </w:rPr>
        <w:t xml:space="preserve">identify </w:t>
      </w:r>
      <w:r>
        <w:rPr>
          <w:rFonts w:eastAsia="宋体"/>
          <w:color w:val="000000" w:themeColor="text1"/>
          <w:szCs w:val="20"/>
          <w:highlight w:val="none"/>
          <w14:textFill>
            <w14:solidFill>
              <w14:schemeClr w14:val="tx1"/>
            </w14:solidFill>
          </w14:textFill>
        </w:rPr>
        <w:t xml:space="preserve">which cell or group of TCI states is associated with which data stream </w:t>
      </w:r>
      <w:r>
        <w:rPr>
          <w:rFonts w:hint="eastAsia" w:eastAsia="宋体"/>
          <w:color w:val="000000" w:themeColor="text1"/>
          <w:szCs w:val="20"/>
          <w:highlight w:val="none"/>
          <w:lang w:val="en-US" w:eastAsia="zh-CN"/>
          <w14:textFill>
            <w14:solidFill>
              <w14:schemeClr w14:val="tx1"/>
            </w14:solidFill>
          </w14:textFill>
        </w:rPr>
        <w:t>towards</w:t>
      </w:r>
      <w:r>
        <w:rPr>
          <w:rFonts w:eastAsia="宋体"/>
          <w:color w:val="000000" w:themeColor="text1"/>
          <w:szCs w:val="20"/>
          <w:highlight w:val="none"/>
          <w14:textFill>
            <w14:solidFill>
              <w14:schemeClr w14:val="tx1"/>
            </w14:solidFill>
          </w14:textFill>
        </w:rPr>
        <w:t xml:space="preserve"> two TRPs.</w:t>
      </w:r>
    </w:p>
    <w:p>
      <w:pPr>
        <w:pageBreakBefore w:val="0"/>
        <w:kinsoku/>
        <w:wordWrap/>
        <w:overflowPunct/>
        <w:topLinePunct w:val="0"/>
        <w:bidi w:val="0"/>
        <w:snapToGrid w:val="0"/>
        <w:spacing w:before="180" w:beforeLines="50"/>
        <w:jc w:val="both"/>
        <w:textAlignment w:val="auto"/>
        <w:rPr>
          <w:rFonts w:eastAsia="宋体"/>
          <w:i/>
          <w:iCs/>
          <w:sz w:val="20"/>
          <w:szCs w:val="20"/>
        </w:rPr>
      </w:pPr>
      <w:r>
        <w:rPr>
          <w:rFonts w:hint="eastAsia" w:eastAsia="宋体"/>
          <w:b/>
          <w:bCs/>
          <w:i/>
          <w:iCs/>
          <w:sz w:val="20"/>
          <w:szCs w:val="20"/>
        </w:rPr>
        <w:t xml:space="preserve">Proposal </w:t>
      </w:r>
      <w:r>
        <w:rPr>
          <w:rFonts w:hint="eastAsia" w:eastAsia="宋体"/>
          <w:b/>
          <w:bCs/>
          <w:i/>
          <w:iCs/>
          <w:sz w:val="20"/>
          <w:szCs w:val="20"/>
          <w:lang w:val="en-US" w:eastAsia="zh-CN"/>
        </w:rPr>
        <w:t>3</w:t>
      </w:r>
      <w:r>
        <w:rPr>
          <w:rFonts w:hint="eastAsia" w:eastAsia="宋体"/>
          <w:b/>
          <w:bCs/>
          <w:i/>
          <w:iCs/>
          <w:sz w:val="20"/>
          <w:szCs w:val="20"/>
        </w:rPr>
        <w:t>:</w:t>
      </w:r>
      <w:r>
        <w:rPr>
          <w:rFonts w:hint="eastAsia" w:eastAsia="宋体"/>
          <w:i/>
          <w:iCs/>
          <w:sz w:val="20"/>
          <w:szCs w:val="20"/>
        </w:rPr>
        <w:t xml:space="preserve"> All TCI states should be split into two groups corresponding to the serving cell and the </w:t>
      </w:r>
      <w:r>
        <w:rPr>
          <w:rFonts w:hint="eastAsia" w:eastAsia="宋体"/>
          <w:i/>
          <w:iCs/>
          <w:sz w:val="20"/>
          <w:szCs w:val="20"/>
          <w:lang w:val="en-US" w:eastAsia="zh-CN"/>
        </w:rPr>
        <w:t xml:space="preserve">non-serving </w:t>
      </w:r>
      <w:r>
        <w:rPr>
          <w:rFonts w:hint="eastAsia" w:eastAsia="宋体"/>
          <w:i/>
          <w:iCs/>
          <w:sz w:val="20"/>
          <w:szCs w:val="20"/>
        </w:rPr>
        <w:t>cell respectively.</w:t>
      </w:r>
    </w:p>
    <w:p>
      <w:pPr>
        <w:pageBreakBefore w:val="0"/>
        <w:numPr>
          <w:ilvl w:val="0"/>
          <w:numId w:val="7"/>
        </w:numPr>
        <w:kinsoku/>
        <w:wordWrap/>
        <w:overflowPunct/>
        <w:topLinePunct w:val="0"/>
        <w:bidi w:val="0"/>
        <w:snapToGrid w:val="0"/>
        <w:spacing w:after="180" w:afterLines="50"/>
        <w:ind w:left="840" w:hanging="420" w:firstLineChars="0"/>
        <w:jc w:val="both"/>
        <w:textAlignment w:val="auto"/>
        <w:rPr>
          <w:rFonts w:hint="eastAsia" w:eastAsia="宋体"/>
          <w:i/>
          <w:iCs/>
          <w:sz w:val="20"/>
          <w:szCs w:val="20"/>
        </w:rPr>
      </w:pPr>
      <w:r>
        <w:rPr>
          <w:rFonts w:hint="eastAsia" w:eastAsia="宋体"/>
          <w:i/>
          <w:iCs/>
          <w:sz w:val="20"/>
          <w:szCs w:val="20"/>
        </w:rPr>
        <w:t xml:space="preserve">Each group is associated with a </w:t>
      </w:r>
      <w:r>
        <w:rPr>
          <w:rFonts w:hint="eastAsia" w:eastAsia="宋体"/>
          <w:i/>
          <w:iCs/>
          <w:szCs w:val="20"/>
        </w:rPr>
        <w:t>CORESETPoolIndex</w:t>
      </w:r>
      <w:r>
        <w:rPr>
          <w:rFonts w:hint="eastAsia" w:eastAsia="宋体"/>
          <w:szCs w:val="20"/>
        </w:rPr>
        <w:t xml:space="preserve"> </w:t>
      </w:r>
      <w:r>
        <w:rPr>
          <w:rFonts w:hint="eastAsia" w:eastAsia="宋体"/>
          <w:i/>
          <w:iCs/>
          <w:sz w:val="20"/>
          <w:szCs w:val="20"/>
        </w:rPr>
        <w:t>value.</w:t>
      </w:r>
    </w:p>
    <w:p>
      <w:pPr>
        <w:pStyle w:val="3"/>
        <w:pageBreakBefore w:val="0"/>
        <w:kinsoku/>
        <w:wordWrap/>
        <w:overflowPunct/>
        <w:topLinePunct w:val="0"/>
        <w:bidi w:val="0"/>
        <w:snapToGrid w:val="0"/>
        <w:jc w:val="both"/>
        <w:textAlignment w:val="auto"/>
        <w:rPr>
          <w:rFonts w:hint="default" w:ascii="Arial" w:hAnsi="Arial" w:eastAsia="宋体" w:cs="Arial"/>
          <w:szCs w:val="22"/>
          <w:lang w:val="en-US" w:eastAsia="zh-CN"/>
        </w:rPr>
      </w:pPr>
      <w:r>
        <w:rPr>
          <w:rFonts w:hint="eastAsia" w:ascii="Arial" w:hAnsi="Arial" w:cs="Arial"/>
          <w:szCs w:val="22"/>
          <w:lang w:val="en-US" w:eastAsia="zh-CN"/>
        </w:rPr>
        <w:t>Non-serving cell TRS as QCL resource RS</w:t>
      </w:r>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Style w:val="120"/>
          <w:rFonts w:eastAsia="宋体"/>
          <w:color w:val="000000" w:themeColor="text1"/>
          <w:highlight w:val="none"/>
          <w14:textFill>
            <w14:solidFill>
              <w14:schemeClr w14:val="tx1"/>
            </w14:solidFill>
          </w14:textFill>
        </w:rPr>
      </w:pPr>
      <w:r>
        <w:rPr>
          <w:rStyle w:val="120"/>
          <w:rFonts w:eastAsia="宋体"/>
        </w:rPr>
        <w:t>In the current specification</w:t>
      </w:r>
      <w:r>
        <w:rPr>
          <w:rStyle w:val="120"/>
          <w:rFonts w:hint="eastAsia" w:eastAsia="宋体"/>
          <w:lang w:val="en-US" w:eastAsia="zh-CN"/>
        </w:rPr>
        <w:t>s</w:t>
      </w:r>
      <w:r>
        <w:rPr>
          <w:rStyle w:val="120"/>
          <w:rFonts w:eastAsia="宋体"/>
        </w:rPr>
        <w:t>, the whole TCI indication framework is TRS centric. TRS is the major RS for UE to track different types of QCL parameters. Hence it is necessary to track TRS from neighbor cell as QCL source as well. As virtual cell ID of TRS can be configured by gNB flexi</w:t>
      </w:r>
      <w:r>
        <w:rPr>
          <w:rStyle w:val="120"/>
          <w:rFonts w:eastAsia="宋体"/>
          <w:color w:val="000000" w:themeColor="text1"/>
          <w:highlight w:val="none"/>
          <w14:textFill>
            <w14:solidFill>
              <w14:schemeClr w14:val="tx1"/>
            </w14:solidFill>
          </w14:textFill>
        </w:rPr>
        <w:t xml:space="preserve">bly, the only issue </w:t>
      </w:r>
      <w:r>
        <w:rPr>
          <w:rStyle w:val="120"/>
          <w:rFonts w:hint="eastAsia" w:eastAsia="宋体"/>
          <w:color w:val="000000" w:themeColor="text1"/>
          <w:highlight w:val="none"/>
          <w:lang w:val="en-US" w:eastAsia="zh-CN"/>
          <w14:textFill>
            <w14:solidFill>
              <w14:schemeClr w14:val="tx1"/>
            </w14:solidFill>
          </w14:textFill>
        </w:rPr>
        <w:t>is about the available slot number for sequence generation when we allow non-serving cell TRS as QCL source RS.</w:t>
      </w:r>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Style w:val="120"/>
          <w:rFonts w:eastAsia="宋体"/>
        </w:rPr>
      </w:pPr>
      <w:r>
        <w:rPr>
          <w:rStyle w:val="120"/>
          <w:rFonts w:hint="eastAsia" w:eastAsia="宋体"/>
        </w:rPr>
        <w:t>In the current specifications, UE assume</w:t>
      </w:r>
      <w:r>
        <w:rPr>
          <w:rStyle w:val="120"/>
          <w:rFonts w:eastAsia="宋体"/>
        </w:rPr>
        <w:t>s</w:t>
      </w:r>
      <w:r>
        <w:rPr>
          <w:rStyle w:val="120"/>
          <w:rFonts w:hint="eastAsia" w:eastAsia="宋体"/>
        </w:rPr>
        <w:t xml:space="preserve"> the sequence generation for TRS with the following two formulas [2].</w:t>
      </w:r>
    </w:p>
    <w:p>
      <w:pPr>
        <w:pageBreakBefore w:val="0"/>
        <w:kinsoku/>
        <w:wordWrap/>
        <w:overflowPunct/>
        <w:topLinePunct w:val="0"/>
        <w:bidi w:val="0"/>
        <w:snapToGrid w:val="0"/>
        <w:spacing w:before="180" w:beforeLines="50" w:after="180" w:afterLines="50"/>
        <w:jc w:val="center"/>
        <w:textAlignment w:val="auto"/>
        <w:rPr>
          <w:rStyle w:val="120"/>
          <w:rFonts w:eastAsia="宋体"/>
        </w:rPr>
      </w:pPr>
      <w:r>
        <w:rPr>
          <w:position w:val="-26"/>
        </w:rPr>
        <w:object>
          <v:shape id="_x0000_i1025" o:spt="75" type="#_x0000_t75" style="height:29.25pt;width:187.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pageBreakBefore w:val="0"/>
        <w:kinsoku/>
        <w:wordWrap/>
        <w:overflowPunct/>
        <w:topLinePunct w:val="0"/>
        <w:bidi w:val="0"/>
        <w:snapToGrid w:val="0"/>
        <w:spacing w:before="180" w:beforeLines="50" w:after="180" w:afterLines="50"/>
        <w:jc w:val="both"/>
        <w:textAlignment w:val="auto"/>
        <w:rPr>
          <w:rStyle w:val="120"/>
          <w:rFonts w:eastAsia="宋体"/>
        </w:rPr>
      </w:pPr>
      <m:oMathPara>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10</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m:oMathPara>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Fonts w:eastAsia="宋体"/>
        </w:rPr>
      </w:pPr>
      <w:r>
        <w:t xml:space="preserve">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number within a radio frame</w:t>
      </w:r>
      <w:r>
        <w:rPr>
          <w:rFonts w:hint="eastAsia" w:eastAsia="宋体"/>
        </w:rPr>
        <w:t>.</w:t>
      </w:r>
    </w:p>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rStyle w:val="120"/>
          <w:rFonts w:eastAsia="宋体"/>
        </w:rPr>
      </w:pPr>
      <w:r>
        <w:rPr>
          <w:rStyle w:val="120"/>
          <w:rFonts w:hint="eastAsia" w:eastAsia="宋体"/>
        </w:rPr>
        <w:t xml:space="preserve">As shown in Figure 3, UE 1 may receive TRS 1 from the serving cell and TRS 2 from the </w:t>
      </w:r>
      <w:r>
        <w:rPr>
          <w:rStyle w:val="120"/>
          <w:rFonts w:hint="eastAsia" w:eastAsia="宋体"/>
          <w:lang w:val="en-US" w:eastAsia="zh-CN"/>
        </w:rPr>
        <w:t xml:space="preserve">non-serving </w:t>
      </w:r>
      <w:r>
        <w:rPr>
          <w:rStyle w:val="120"/>
          <w:rFonts w:hint="eastAsia" w:eastAsia="宋体"/>
        </w:rPr>
        <w:t xml:space="preserve">cell in the scenario of Multi-TRP inter-cell operation. Meanwhile, TRS 2 is also configured by the </w:t>
      </w:r>
      <w:r>
        <w:rPr>
          <w:rStyle w:val="120"/>
          <w:rFonts w:hint="eastAsia" w:eastAsia="宋体"/>
          <w:lang w:val="en-US" w:eastAsia="zh-CN"/>
        </w:rPr>
        <w:t xml:space="preserve">non-serving </w:t>
      </w:r>
      <w:r>
        <w:rPr>
          <w:rStyle w:val="120"/>
          <w:rFonts w:hint="eastAsia" w:eastAsia="宋体"/>
        </w:rPr>
        <w:t xml:space="preserve">cell and to be received by UE 2 which only connects with the </w:t>
      </w:r>
      <w:r>
        <w:rPr>
          <w:rStyle w:val="120"/>
          <w:rFonts w:hint="eastAsia" w:eastAsia="宋体"/>
          <w:lang w:val="en-US" w:eastAsia="zh-CN"/>
        </w:rPr>
        <w:t xml:space="preserve">non-serving </w:t>
      </w:r>
      <w:r>
        <w:rPr>
          <w:rStyle w:val="120"/>
          <w:rFonts w:hint="eastAsia" w:eastAsia="宋体"/>
        </w:rPr>
        <w:t xml:space="preserve">cell. </w:t>
      </w:r>
      <w:r>
        <w:rPr>
          <w:rStyle w:val="120"/>
          <w:rFonts w:hint="eastAsia" w:eastAsia="宋体"/>
          <w:lang w:val="en-US" w:eastAsia="zh-CN"/>
        </w:rPr>
        <w:t>Here</w:t>
      </w:r>
      <w:r>
        <w:rPr>
          <w:rStyle w:val="120"/>
          <w:rFonts w:hint="eastAsia" w:eastAsia="宋体"/>
        </w:rPr>
        <w:t xml:space="preserve">, </w:t>
      </w:r>
      <w:r>
        <w:rPr>
          <w:rStyle w:val="120"/>
          <w:rFonts w:hint="eastAsia" w:eastAsia="宋体"/>
          <w:lang w:val="en-US" w:eastAsia="zh-CN"/>
        </w:rPr>
        <w:t xml:space="preserve">we arrange that </w:t>
      </w:r>
      <w:r>
        <w:rPr>
          <w:rStyle w:val="120"/>
          <w:rFonts w:hint="eastAsia" w:eastAsia="宋体"/>
        </w:rPr>
        <w:t xml:space="preserve">slot index associated to TRS 1 is denoted as </w:t>
      </w:r>
      <w:r>
        <w:rPr>
          <w:rStyle w:val="120"/>
          <w:rFonts w:hint="eastAsia" w:eastAsia="宋体"/>
          <w:i/>
          <w:iCs/>
        </w:rPr>
        <w:t>x</w:t>
      </w:r>
      <w:r>
        <w:rPr>
          <w:rStyle w:val="120"/>
          <w:rFonts w:hint="eastAsia" w:eastAsia="宋体"/>
        </w:rPr>
        <w:t xml:space="preserve"> and slot index associated to TRS 2 is denoted as </w:t>
      </w:r>
      <w:r>
        <w:rPr>
          <w:rStyle w:val="120"/>
          <w:rFonts w:hint="eastAsia" w:eastAsia="宋体"/>
          <w:i/>
          <w:iCs/>
        </w:rPr>
        <w:t>y.</w:t>
      </w:r>
      <w:r>
        <w:rPr>
          <w:rStyle w:val="120"/>
          <w:rFonts w:hint="eastAsia" w:eastAsia="宋体"/>
        </w:rPr>
        <w:t xml:space="preserve"> Due to the configuration of serving cell and neighbor cell is irrelevant in some scenarios, the configured values of </w:t>
      </w:r>
      <w:r>
        <w:rPr>
          <w:rStyle w:val="120"/>
          <w:rFonts w:hint="eastAsia" w:eastAsia="宋体"/>
          <w:i/>
          <w:iCs/>
        </w:rPr>
        <w:t>x</w:t>
      </w:r>
      <w:r>
        <w:rPr>
          <w:rStyle w:val="120"/>
          <w:rFonts w:hint="eastAsia" w:eastAsia="宋体"/>
        </w:rPr>
        <w:t xml:space="preserve"> and </w:t>
      </w:r>
      <w:r>
        <w:rPr>
          <w:rStyle w:val="120"/>
          <w:rFonts w:hint="eastAsia" w:eastAsia="宋体"/>
          <w:i/>
          <w:iCs/>
        </w:rPr>
        <w:t>y</w:t>
      </w:r>
      <w:r>
        <w:rPr>
          <w:rStyle w:val="120"/>
          <w:rFonts w:hint="eastAsia" w:eastAsia="宋体"/>
        </w:rPr>
        <w:t xml:space="preserve"> </w:t>
      </w:r>
      <w:r>
        <w:rPr>
          <w:rStyle w:val="120"/>
          <w:rFonts w:eastAsia="宋体"/>
        </w:rPr>
        <w:t>are mutually</w:t>
      </w:r>
      <w:r>
        <w:rPr>
          <w:rStyle w:val="120"/>
          <w:rFonts w:hint="eastAsia" w:eastAsia="宋体"/>
        </w:rPr>
        <w:t xml:space="preserve"> independent. </w:t>
      </w:r>
      <w:r>
        <w:rPr>
          <w:rStyle w:val="120"/>
          <w:rFonts w:hint="eastAsia" w:eastAsia="宋体"/>
          <w:lang w:val="en-US" w:eastAsia="zh-CN"/>
        </w:rPr>
        <w:t>It should be noted that</w:t>
      </w:r>
      <w:r>
        <w:rPr>
          <w:rStyle w:val="120"/>
          <w:rFonts w:hint="eastAsia" w:eastAsia="宋体"/>
        </w:rPr>
        <w:t xml:space="preserve"> UE 1 can report</w:t>
      </w:r>
      <w:r>
        <w:rPr>
          <w:rFonts w:cs="Arial"/>
        </w:rPr>
        <w:t xml:space="preserve"> frame timing difference</w:t>
      </w:r>
      <w:r>
        <w:rPr>
          <w:rFonts w:hint="eastAsia" w:eastAsia="宋体" w:cs="Arial"/>
        </w:rPr>
        <w:t xml:space="preserve"> between serving cell and neighboring cell in a L3 measurement reporting according to TS38.331. The frame timing difference </w:t>
      </w:r>
      <w:r>
        <w:rPr>
          <w:rFonts w:hint="eastAsia" w:eastAsia="宋体" w:cs="Arial"/>
          <w:color w:val="000000" w:themeColor="text1"/>
          <w14:textFill>
            <w14:solidFill>
              <w14:schemeClr w14:val="tx1"/>
            </w14:solidFill>
          </w14:textFill>
        </w:rPr>
        <w:t>between serving cell and neighbor cell is smaller than 5ms according to the description in TS 38.211 as shown in following table</w:t>
      </w:r>
      <w:r>
        <w:rPr>
          <w:rFonts w:eastAsia="宋体" w:cs="Arial"/>
          <w:color w:val="000000" w:themeColor="text1"/>
          <w14:textFill>
            <w14:solidFill>
              <w14:schemeClr w14:val="tx1"/>
            </w14:solidFill>
          </w14:textFill>
        </w:rPr>
        <w:t>.</w:t>
      </w:r>
      <w:r>
        <w:rPr>
          <w:rStyle w:val="120"/>
          <w:rFonts w:hint="eastAsia" w:eastAsia="宋体"/>
          <w:color w:val="000000" w:themeColor="text1"/>
          <w14:textFill>
            <w14:solidFill>
              <w14:schemeClr w14:val="tx1"/>
            </w14:solidFill>
          </w14:textFill>
        </w:rPr>
        <w:t xml:space="preserve"> Correspondingly, the slot number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s,f</m:t>
            </m:r>
            <m:ctrlPr>
              <w:rPr>
                <w:rFonts w:ascii="Cambria Math" w:hAnsi="Cambria Math"/>
                <w:i/>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w:t>
      </w:r>
      <w:r>
        <w:rPr>
          <w:rStyle w:val="120"/>
          <w:rFonts w:hint="eastAsia" w:eastAsia="宋体"/>
          <w:color w:val="000000" w:themeColor="text1"/>
          <w14:textFill>
            <w14:solidFill>
              <w14:schemeClr w14:val="tx1"/>
            </w14:solidFill>
          </w14:textFill>
        </w:rPr>
        <w:t>of serving cell and neighbor</w:t>
      </w:r>
      <w:r>
        <w:rPr>
          <w:rStyle w:val="120"/>
          <w:rFonts w:hint="eastAsia" w:eastAsia="宋体"/>
          <w:color w:val="000000" w:themeColor="text1"/>
          <w:lang w:val="en-US" w:eastAsia="zh-CN"/>
          <w14:textFill>
            <w14:solidFill>
              <w14:schemeClr w14:val="tx1"/>
            </w14:solidFill>
          </w14:textFill>
        </w:rPr>
        <w:t xml:space="preserve"> cell</w:t>
      </w:r>
      <w:r>
        <w:rPr>
          <w:rStyle w:val="120"/>
          <w:rFonts w:hint="eastAsia" w:eastAsia="宋体"/>
          <w:color w:val="000000" w:themeColor="text1"/>
          <w14:textFill>
            <w14:solidFill>
              <w14:schemeClr w14:val="tx1"/>
            </w14:solidFill>
          </w14:textFill>
        </w:rPr>
        <w:t xml:space="preserve"> can be different in some scenarios.</w:t>
      </w:r>
    </w:p>
    <w:tbl>
      <w:tblPr>
        <w:tblStyle w:val="29"/>
        <w:tblW w:w="9457"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tcPr>
          <w:p>
            <w:pPr>
              <w:pageBreakBefore w:val="0"/>
              <w:kinsoku/>
              <w:wordWrap/>
              <w:overflowPunct/>
              <w:topLinePunct w:val="0"/>
              <w:bidi w:val="0"/>
              <w:snapToGrid w:val="0"/>
              <w:spacing w:before="180" w:beforeLines="50" w:after="180" w:afterLines="50"/>
              <w:jc w:val="both"/>
              <w:textAlignment w:val="auto"/>
              <w:rPr>
                <w:b/>
                <w:bCs/>
              </w:rPr>
            </w:pPr>
            <w:r>
              <w:rPr>
                <w:rStyle w:val="120"/>
                <w:rFonts w:hint="eastAsia" w:eastAsia="宋体"/>
                <w:b/>
                <w:bCs/>
              </w:rPr>
              <w:t xml:space="preserve">TS 38.211, Subclause </w:t>
            </w:r>
            <w:r>
              <w:rPr>
                <w:b/>
                <w:bCs/>
              </w:rPr>
              <w:t>6.3.3.2</w:t>
            </w:r>
            <w:r>
              <w:rPr>
                <w:b/>
                <w:bCs/>
              </w:rPr>
              <w:tab/>
            </w:r>
            <w:r>
              <w:rPr>
                <w:b/>
                <w:bCs/>
              </w:rPr>
              <w:t>Mapping to physical resource</w:t>
            </w:r>
          </w:p>
          <w:p>
            <w:pPr>
              <w:pageBreakBefore w:val="0"/>
              <w:kinsoku/>
              <w:wordWrap/>
              <w:overflowPunct/>
              <w:topLinePunct w:val="0"/>
              <w:bidi w:val="0"/>
              <w:snapToGrid w:val="0"/>
              <w:jc w:val="both"/>
              <w:textAlignment w:val="auto"/>
              <w:rPr>
                <w:rFonts w:eastAsia="宋体"/>
              </w:rPr>
            </w:pPr>
            <w:r>
              <w:rPr>
                <w:rFonts w:hint="eastAsia" w:eastAsia="宋体"/>
              </w:rPr>
              <w:t>&lt;Omitted Part&gt;</w:t>
            </w:r>
          </w:p>
          <w:p>
            <w:pPr>
              <w:pageBreakBefore w:val="0"/>
              <w:kinsoku/>
              <w:wordWrap/>
              <w:overflowPunct/>
              <w:topLinePunct w:val="0"/>
              <w:bidi w:val="0"/>
              <w:snapToGrid w:val="0"/>
              <w:jc w:val="both"/>
              <w:textAlignment w:val="auto"/>
              <w:rPr>
                <w:rFonts w:eastAsia="Batang"/>
              </w:rPr>
            </w:pPr>
            <w:r>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max</m:t>
                  </m:r>
                  <m:ctrlPr>
                    <w:rPr>
                      <w:rFonts w:ascii="Cambria Math" w:hAnsi="Cambria Math"/>
                      <w:i/>
                    </w:rPr>
                  </m:ctrlP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hAnsi="Cambria Math" w:eastAsia="Batang"/>
                  <w:szCs w:val="24"/>
                </w:rPr>
                <m:t>i</m:t>
              </m:r>
            </m:oMath>
            <w:r>
              <w:rPr>
                <w:rFonts w:eastAsia="Batang"/>
                <w:szCs w:val="24"/>
              </w:rPr>
              <w:t xml:space="preserve"> in the current cell and radio frame</w:t>
            </w:r>
            <w:r>
              <w:rPr>
                <w:rFonts w:eastAsia="Batang"/>
                <w:i/>
                <w:szCs w:val="24"/>
              </w:rPr>
              <w:t xml:space="preserve"> </w:t>
            </w:r>
            <m:oMath>
              <m:r>
                <w:rPr>
                  <w:rFonts w:ascii="Cambria Math" w:hAnsi="Cambria Math" w:eastAsia="Batang"/>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b w:val="0"/>
                      <w:i w:val="0"/>
                    </w:rPr>
                    <m:t>s</m:t>
                  </m:r>
                  <m:ctrlPr>
                    <w:rPr>
                      <w:rFonts w:ascii="Cambria Math" w:hAnsi="Cambria Math"/>
                      <w:i/>
                    </w:rPr>
                  </m:ctrlPr>
                </m:sub>
              </m:sSub>
            </m:oMath>
            <w:r>
              <w:rPr>
                <w:rFonts w:eastAsia="Batang"/>
              </w:rPr>
              <w:t xml:space="preserve"> if the association pattern period in clause 8.1 of [5, TS 38.213] is not equal to 10 ms.</w:t>
            </w:r>
          </w:p>
          <w:p>
            <w:pPr>
              <w:pageBreakBefore w:val="0"/>
              <w:kinsoku/>
              <w:wordWrap/>
              <w:overflowPunct/>
              <w:topLinePunct w:val="0"/>
              <w:bidi w:val="0"/>
              <w:snapToGrid w:val="0"/>
              <w:spacing w:before="180" w:beforeLines="50" w:after="180" w:afterLines="50"/>
              <w:jc w:val="both"/>
              <w:textAlignment w:val="auto"/>
              <w:rPr>
                <w:rStyle w:val="120"/>
                <w:rFonts w:eastAsia="宋体"/>
              </w:rPr>
            </w:pPr>
            <w:r>
              <w:rPr>
                <w:rFonts w:hint="eastAsia" w:eastAsia="宋体"/>
              </w:rPr>
              <w:t>&lt;Omitted Part&gt;</w:t>
            </w:r>
          </w:p>
        </w:tc>
      </w:tr>
    </w:tbl>
    <w:p>
      <w:pPr>
        <w:keepNext w:val="0"/>
        <w:keepLines w:val="0"/>
        <w:pageBreakBefore w:val="0"/>
        <w:widowControl/>
        <w:kinsoku/>
        <w:wordWrap/>
        <w:overflowPunct/>
        <w:topLinePunct w:val="0"/>
        <w:autoSpaceDE/>
        <w:autoSpaceDN/>
        <w:bidi w:val="0"/>
        <w:adjustRightInd/>
        <w:snapToGrid w:val="0"/>
        <w:spacing w:before="180" w:beforeLines="50" w:after="180" w:afterLines="50"/>
        <w:jc w:val="both"/>
        <w:textAlignment w:val="auto"/>
        <w:rPr>
          <w:color w:val="000000" w:themeColor="text1"/>
          <w14:textFill>
            <w14:solidFill>
              <w14:schemeClr w14:val="tx1"/>
            </w14:solidFill>
          </w14:textFill>
        </w:rPr>
      </w:pPr>
      <w:r>
        <w:rPr>
          <w:rStyle w:val="120"/>
          <w:rFonts w:hint="eastAsia" w:eastAsia="宋体"/>
        </w:rPr>
        <w:t xml:space="preserve">If UE 1 assumes the sequence generation for neighbor cell TRS 2 based on the serving cell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rPr>
          <w:rStyle w:val="120"/>
          <w:rFonts w:hint="eastAsia" w:eastAsia="宋体"/>
        </w:rPr>
        <w:t>,</w:t>
      </w:r>
      <w:r>
        <w:t xml:space="preserve"> </w:t>
      </w:r>
      <w:r>
        <w:rPr>
          <w:rFonts w:hint="eastAsia" w:eastAsia="宋体"/>
        </w:rPr>
        <w:t xml:space="preserve">the neighbor cell TRP must transmit TRS 2 based on slot index of the serving cell. In such case, TRS 2 cannot be shared </w:t>
      </w:r>
      <w:r>
        <w:rPr>
          <w:rFonts w:eastAsia="宋体"/>
        </w:rPr>
        <w:t>between</w:t>
      </w:r>
      <w:r>
        <w:rPr>
          <w:rFonts w:hint="eastAsia" w:eastAsia="宋体"/>
        </w:rPr>
        <w:t xml:space="preserve"> UE 1 and some other UE</w:t>
      </w:r>
      <w:r>
        <w:rPr>
          <w:rFonts w:eastAsia="宋体"/>
        </w:rPr>
        <w:t>s</w:t>
      </w:r>
      <w:r>
        <w:rPr>
          <w:rFonts w:hint="eastAsia" w:eastAsia="宋体"/>
        </w:rPr>
        <w:t xml:space="preserve"> (such as</w:t>
      </w:r>
      <w:r>
        <w:rPr>
          <w:rFonts w:hint="eastAsia" w:eastAsia="宋体"/>
          <w:color w:val="000000" w:themeColor="text1"/>
          <w14:textFill>
            <w14:solidFill>
              <w14:schemeClr w14:val="tx1"/>
            </w14:solidFill>
          </w14:textFill>
        </w:rPr>
        <w:t xml:space="preserve"> UE 2 in Figure 3) connected </w:t>
      </w:r>
      <w:r>
        <w:rPr>
          <w:rFonts w:eastAsia="宋体"/>
          <w:color w:val="000000" w:themeColor="text1"/>
          <w14:textFill>
            <w14:solidFill>
              <w14:schemeClr w14:val="tx1"/>
            </w14:solidFill>
          </w14:textFill>
        </w:rPr>
        <w:t>to</w:t>
      </w:r>
      <w:r>
        <w:rPr>
          <w:rFonts w:hint="eastAsia" w:eastAsia="宋体"/>
          <w:color w:val="000000" w:themeColor="text1"/>
          <w14:textFill>
            <w14:solidFill>
              <w14:schemeClr w14:val="tx1"/>
            </w14:solidFill>
          </w14:textFill>
        </w:rPr>
        <w:t xml:space="preserve"> the neighbor cell.</w:t>
      </w:r>
      <w:r>
        <w:rPr>
          <w:rStyle w:val="120"/>
          <w:rFonts w:hint="eastAsia" w:eastAsia="宋体"/>
          <w:color w:val="000000" w:themeColor="text1"/>
          <w14:textFill>
            <w14:solidFill>
              <w14:schemeClr w14:val="tx1"/>
            </w14:solidFill>
          </w14:textFill>
        </w:rPr>
        <w:t xml:space="preserve"> In order to address this issue, sequence generations for TRS from serving cell and TRS from neighbor cell should be based on its respective slot index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s,f</m:t>
            </m:r>
            <m:ctrlPr>
              <w:rPr>
                <w:rFonts w:ascii="Cambria Math" w:hAnsi="Cambria Math"/>
                <w:i/>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sup>
        </m:sSubSup>
      </m:oMath>
      <w:r>
        <w:rPr>
          <w:rStyle w:val="120"/>
          <w:rFonts w:eastAsia="宋体"/>
          <w:color w:val="000000" w:themeColor="text1"/>
          <w14:textFill>
            <w14:solidFill>
              <w14:schemeClr w14:val="tx1"/>
            </w14:solidFill>
          </w14:textFill>
        </w:rPr>
        <w:t xml:space="preserve">, i.e., TRS used as TCI source from neighbor cell should generate the sequence based on the slot index from neighbor </w:t>
      </w:r>
      <w:r>
        <w:rPr>
          <w:rStyle w:val="120"/>
          <w:rFonts w:hint="eastAsia" w:eastAsia="宋体"/>
          <w:color w:val="000000" w:themeColor="text1"/>
          <w14:textFill>
            <w14:solidFill>
              <w14:schemeClr w14:val="tx1"/>
            </w14:solidFill>
          </w14:textFill>
        </w:rPr>
        <w:t>cell</w:t>
      </w:r>
      <w:r>
        <w:rPr>
          <w:rStyle w:val="120"/>
          <w:rFonts w:eastAsia="宋体"/>
          <w:color w:val="000000" w:themeColor="text1"/>
          <w14:textFill>
            <w14:solidFill>
              <w14:schemeClr w14:val="tx1"/>
            </w14:solidFill>
          </w14:textFill>
        </w:rPr>
        <w:t>.</w:t>
      </w:r>
    </w:p>
    <w:p>
      <w:pPr>
        <w:pageBreakBefore w:val="0"/>
        <w:kinsoku/>
        <w:wordWrap/>
        <w:overflowPunct/>
        <w:topLinePunct w:val="0"/>
        <w:bidi w:val="0"/>
        <w:snapToGrid w:val="0"/>
        <w:spacing w:before="180" w:beforeLines="50" w:after="180" w:afterLines="50"/>
        <w:jc w:val="center"/>
        <w:textAlignment w:val="auto"/>
      </w:pPr>
      <w:r>
        <w:drawing>
          <wp:inline distT="0" distB="0" distL="114300" distR="114300">
            <wp:extent cx="4289425" cy="1399540"/>
            <wp:effectExtent l="0" t="0" r="317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4289425" cy="1399540"/>
                    </a:xfrm>
                    <a:prstGeom prst="rect">
                      <a:avLst/>
                    </a:prstGeom>
                    <a:noFill/>
                    <a:ln>
                      <a:noFill/>
                    </a:ln>
                  </pic:spPr>
                </pic:pic>
              </a:graphicData>
            </a:graphic>
          </wp:inline>
        </w:drawing>
      </w:r>
    </w:p>
    <w:p>
      <w:pPr>
        <w:pageBreakBefore w:val="0"/>
        <w:kinsoku/>
        <w:wordWrap/>
        <w:overflowPunct/>
        <w:topLinePunct w:val="0"/>
        <w:bidi w:val="0"/>
        <w:snapToGrid w:val="0"/>
        <w:spacing w:before="180" w:beforeLines="50" w:after="180" w:afterLines="50"/>
        <w:jc w:val="center"/>
        <w:textAlignment w:val="auto"/>
        <w:rPr>
          <w:rFonts w:eastAsia="宋体"/>
        </w:rPr>
      </w:pPr>
      <w:r>
        <w:rPr>
          <w:rFonts w:hint="eastAsia" w:eastAsia="宋体"/>
          <w:b/>
          <w:bCs/>
        </w:rPr>
        <w:t>Figure 3</w:t>
      </w:r>
      <w:r>
        <w:rPr>
          <w:rFonts w:hint="eastAsia" w:eastAsia="宋体"/>
          <w:b/>
          <w:bCs/>
          <w:lang w:val="en-US" w:eastAsia="zh-CN"/>
        </w:rPr>
        <w:t>:</w:t>
      </w:r>
      <w:r>
        <w:rPr>
          <w:rFonts w:hint="eastAsia" w:eastAsia="宋体"/>
        </w:rPr>
        <w:tab/>
      </w:r>
      <w:r>
        <w:rPr>
          <w:rFonts w:hint="eastAsia" w:eastAsia="宋体"/>
        </w:rPr>
        <w:t>TRS with respective SFN of Multi-TRP inter-cell operation</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ascii="Times New Roman" w:hAnsi="Times New Roman" w:eastAsia="宋体" w:cs="Times New Roman"/>
          <w:iCs/>
          <w:szCs w:val="20"/>
          <w:lang w:val="en-GB" w:eastAsia="zh-CN"/>
        </w:rPr>
      </w:pPr>
      <w:r>
        <w:rPr>
          <w:rFonts w:hint="eastAsia" w:ascii="Times New Roman" w:hAnsi="Times New Roman" w:eastAsia="宋体" w:cs="Times New Roman"/>
          <w:iCs/>
          <w:szCs w:val="20"/>
          <w:lang w:eastAsia="zh-CN"/>
        </w:rPr>
        <w:t xml:space="preserve">Then, </w:t>
      </w:r>
      <w:r>
        <w:rPr>
          <w:rFonts w:hint="eastAsia" w:ascii="Times New Roman" w:hAnsi="Times New Roman" w:eastAsia="宋体" w:cs="Times New Roman"/>
          <w:iCs/>
          <w:szCs w:val="20"/>
          <w:lang w:val="en-GB" w:eastAsia="zh-CN"/>
        </w:rPr>
        <w:t>we make the following proposal:</w:t>
      </w:r>
    </w:p>
    <w:p>
      <w:pPr>
        <w:pStyle w:val="16"/>
        <w:keepNext w:val="0"/>
        <w:keepLines w:val="0"/>
        <w:pageBreakBefore w:val="0"/>
        <w:kinsoku/>
        <w:wordWrap/>
        <w:overflowPunct/>
        <w:topLinePunct w:val="0"/>
        <w:autoSpaceDE/>
        <w:autoSpaceDN/>
        <w:bidi w:val="0"/>
        <w:adjustRightInd/>
        <w:snapToGrid w:val="0"/>
        <w:spacing w:before="180" w:beforeLines="50" w:after="180" w:afterLines="50"/>
        <w:jc w:val="both"/>
        <w:textAlignment w:val="auto"/>
        <w:rPr>
          <w:rStyle w:val="120"/>
          <w:rFonts w:eastAsia="宋体"/>
          <w:bCs/>
          <w:i/>
          <w:iCs/>
          <w:sz w:val="20"/>
        </w:rPr>
      </w:pPr>
      <w:r>
        <w:rPr>
          <w:rStyle w:val="120"/>
          <w:rFonts w:hint="eastAsia" w:eastAsiaTheme="minorEastAsia"/>
          <w:b/>
          <w:i/>
          <w:iCs/>
          <w:sz w:val="20"/>
        </w:rPr>
        <w:t>Proposal 4:</w:t>
      </w:r>
      <w:r>
        <w:rPr>
          <w:rStyle w:val="120"/>
          <w:rFonts w:hint="eastAsia" w:eastAsiaTheme="minorEastAsia"/>
          <w:bCs/>
          <w:i/>
          <w:iCs/>
          <w:sz w:val="20"/>
        </w:rPr>
        <w:t xml:space="preserve"> </w:t>
      </w:r>
      <w:r>
        <w:rPr>
          <w:rStyle w:val="120"/>
          <w:rFonts w:hint="eastAsia" w:eastAsia="宋体"/>
          <w:bCs/>
          <w:i/>
          <w:iCs/>
          <w:sz w:val="20"/>
        </w:rPr>
        <w:t>Support</w:t>
      </w:r>
      <w:r>
        <w:rPr>
          <w:rStyle w:val="120"/>
          <w:rFonts w:eastAsia="宋体"/>
          <w:bCs/>
          <w:i/>
          <w:iCs/>
          <w:sz w:val="20"/>
        </w:rPr>
        <w:t xml:space="preserve"> neighbor cell TRS as the QCL source, where the sequence generation of the </w:t>
      </w:r>
      <w:r>
        <w:rPr>
          <w:rFonts w:hint="eastAsia" w:eastAsia="宋体"/>
          <w:i/>
          <w:iCs/>
          <w:sz w:val="20"/>
          <w:szCs w:val="20"/>
          <w:lang w:val="en-US" w:eastAsia="zh-CN"/>
        </w:rPr>
        <w:t xml:space="preserve">non-serving </w:t>
      </w:r>
      <w:r>
        <w:rPr>
          <w:rStyle w:val="120"/>
          <w:rFonts w:hint="eastAsia" w:eastAsia="宋体"/>
          <w:bCs/>
          <w:i/>
          <w:iCs/>
          <w:sz w:val="20"/>
        </w:rPr>
        <w:t>cell</w:t>
      </w:r>
      <w:r>
        <w:rPr>
          <w:rStyle w:val="120"/>
          <w:rFonts w:eastAsia="宋体"/>
          <w:bCs/>
          <w:i/>
          <w:iCs/>
          <w:sz w:val="20"/>
        </w:rPr>
        <w:t xml:space="preserve"> TRS is based on slot index of </w:t>
      </w:r>
      <w:r>
        <w:rPr>
          <w:rFonts w:hint="eastAsia" w:eastAsia="宋体"/>
          <w:i/>
          <w:iCs/>
          <w:sz w:val="20"/>
          <w:szCs w:val="20"/>
          <w:lang w:val="en-US" w:eastAsia="zh-CN"/>
        </w:rPr>
        <w:t xml:space="preserve">non-serving </w:t>
      </w:r>
      <w:r>
        <w:rPr>
          <w:rStyle w:val="120"/>
          <w:rFonts w:eastAsia="宋体"/>
          <w:bCs/>
          <w:i/>
          <w:iCs/>
          <w:sz w:val="20"/>
        </w:rPr>
        <w:t>cell.</w:t>
      </w:r>
    </w:p>
    <w:p>
      <w:pPr>
        <w:pStyle w:val="3"/>
        <w:pageBreakBefore w:val="0"/>
        <w:kinsoku/>
        <w:wordWrap/>
        <w:overflowPunct/>
        <w:topLinePunct w:val="0"/>
        <w:bidi w:val="0"/>
        <w:snapToGrid w:val="0"/>
        <w:jc w:val="both"/>
        <w:textAlignment w:val="auto"/>
        <w:rPr>
          <w:rFonts w:hint="default" w:ascii="Arial" w:hAnsi="Arial" w:eastAsia="宋体" w:cs="Arial"/>
          <w:szCs w:val="22"/>
          <w:lang w:val="en-US" w:eastAsia="zh-CN"/>
        </w:rPr>
      </w:pPr>
      <w:r>
        <w:rPr>
          <w:rFonts w:hint="eastAsia" w:ascii="Arial" w:hAnsi="Arial" w:cs="Arial"/>
          <w:szCs w:val="22"/>
          <w:lang w:val="en-US" w:eastAsia="zh-CN"/>
        </w:rPr>
        <w:t>Rate matching</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eastAsia="宋体"/>
          <w:iCs/>
          <w:szCs w:val="20"/>
          <w:lang w:val="en-US" w:eastAsia="zh-CN"/>
        </w:rPr>
      </w:pPr>
      <w:r>
        <w:rPr>
          <w:rFonts w:hint="eastAsia" w:eastAsia="宋体"/>
          <w:iCs/>
          <w:szCs w:val="20"/>
          <w:lang w:eastAsia="zh-CN"/>
        </w:rPr>
        <w:t>In Rel-15</w:t>
      </w:r>
      <w:r>
        <w:rPr>
          <w:rFonts w:hint="eastAsia" w:eastAsia="宋体"/>
          <w:iCs/>
          <w:szCs w:val="20"/>
          <w:lang w:val="en-US" w:eastAsia="zh-CN"/>
        </w:rPr>
        <w:t>/16</w:t>
      </w:r>
      <w:r>
        <w:rPr>
          <w:rFonts w:hint="eastAsia" w:eastAsia="宋体"/>
          <w:iCs/>
          <w:szCs w:val="20"/>
          <w:lang w:eastAsia="zh-CN"/>
        </w:rPr>
        <w:t xml:space="preserve">, </w:t>
      </w:r>
      <w:r>
        <w:rPr>
          <w:rFonts w:hint="eastAsia" w:eastAsia="宋体"/>
          <w:iCs/>
          <w:szCs w:val="20"/>
          <w:lang w:val="en-US" w:eastAsia="zh-CN"/>
        </w:rPr>
        <w:t xml:space="preserve">rate matching serves the purpose that to determine the number of bits of PDSCH transmission by avoiding resource conflict with some DL signals, such as CSI-RS, SSB and CRS. </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default" w:eastAsia="宋体"/>
          <w:iCs/>
          <w:szCs w:val="20"/>
          <w:lang w:val="en-US" w:eastAsia="zh-CN"/>
        </w:rPr>
      </w:pPr>
      <w:r>
        <w:rPr>
          <w:rFonts w:hint="eastAsia" w:eastAsia="宋体"/>
          <w:iCs/>
          <w:szCs w:val="20"/>
          <w:lang w:val="en-US" w:eastAsia="zh-CN"/>
        </w:rPr>
        <w:t>In Rel-16 Multi-TRP PDSCH transmission, two sets of CRS patterns are introduced which can be used for rate matching of PDSCH from two TRPs respectively.</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default" w:eastAsia="宋体"/>
          <w:iCs/>
          <w:szCs w:val="20"/>
          <w:lang w:val="en-US" w:eastAsia="zh-CN"/>
        </w:rPr>
      </w:pPr>
      <w:r>
        <w:rPr>
          <w:rFonts w:hint="eastAsia" w:eastAsia="宋体"/>
          <w:iCs/>
          <w:szCs w:val="20"/>
          <w:lang w:val="en-US" w:eastAsia="zh-CN"/>
        </w:rPr>
        <w:t xml:space="preserve">As to </w:t>
      </w:r>
      <w:r>
        <w:rPr>
          <w:rFonts w:hint="eastAsia" w:eastAsia="宋体"/>
          <w:color w:val="000000" w:themeColor="text1"/>
          <w:szCs w:val="20"/>
          <w:highlight w:val="none"/>
          <w:lang w:val="en-US" w:eastAsia="zh-CN"/>
          <w14:textFill>
            <w14:solidFill>
              <w14:schemeClr w14:val="tx1"/>
            </w14:solidFill>
          </w14:textFill>
        </w:rPr>
        <w:t xml:space="preserve">Multi-TRP </w:t>
      </w:r>
      <w:r>
        <w:rPr>
          <w:rFonts w:hint="eastAsia" w:eastAsia="宋体"/>
          <w:iCs/>
          <w:szCs w:val="20"/>
          <w:lang w:val="en-US" w:eastAsia="zh-CN"/>
        </w:rPr>
        <w:t>inter-cell operation in Rel-17, due to RAN1 agreed to use SSB from non-serving cell as QCLed source RS,  separate rate matching around serving and non-serving cell SSB should also be supported for PDSCH transmitted from the serving cell and the non-serving cell respectively. Specifically, once serving cell PDSCH and serving cell SSB are overlapped</w:t>
      </w:r>
      <w:r>
        <w:rPr>
          <w:rFonts w:hint="eastAsia"/>
          <w:lang w:val="en-US" w:eastAsia="zh-CN"/>
        </w:rPr>
        <w:t xml:space="preserve">, the PDSCH should do rate matching around the SSB, but may not need to do rate matching around the non-serving cell SSB. Likewise, </w:t>
      </w:r>
      <w:r>
        <w:rPr>
          <w:rFonts w:hint="eastAsia" w:eastAsia="宋体"/>
          <w:iCs/>
          <w:szCs w:val="20"/>
          <w:lang w:val="en-US" w:eastAsia="zh-CN"/>
        </w:rPr>
        <w:t>once non-serving cell PDSCH and the non-serving cell SSB are overlapped</w:t>
      </w:r>
      <w:r>
        <w:rPr>
          <w:rFonts w:hint="eastAsia"/>
          <w:lang w:val="en-US" w:eastAsia="zh-CN"/>
        </w:rPr>
        <w:t>, the PDSCH should do rate matching around the SSB, but may not need to do rate matching around the serving cell transmitting SSB. In a nutshell, our proposal is shown as follow:</w:t>
      </w:r>
    </w:p>
    <w:p>
      <w:pPr>
        <w:pStyle w:val="16"/>
        <w:keepNext w:val="0"/>
        <w:keepLines w:val="0"/>
        <w:pageBreakBefore w:val="0"/>
        <w:kinsoku/>
        <w:wordWrap/>
        <w:overflowPunct/>
        <w:topLinePunct w:val="0"/>
        <w:autoSpaceDE/>
        <w:autoSpaceDN/>
        <w:bidi w:val="0"/>
        <w:adjustRightInd/>
        <w:snapToGrid w:val="0"/>
        <w:spacing w:before="180" w:beforeLines="50" w:after="180" w:afterLines="50"/>
        <w:jc w:val="both"/>
        <w:textAlignment w:val="auto"/>
        <w:rPr>
          <w:rFonts w:hint="default" w:eastAsia="宋体"/>
          <w:i/>
          <w:iCs/>
          <w:sz w:val="20"/>
          <w:szCs w:val="20"/>
          <w:lang w:val="en-US" w:eastAsia="zh-CN"/>
        </w:rPr>
      </w:pPr>
      <w:r>
        <w:rPr>
          <w:rStyle w:val="120"/>
          <w:rFonts w:hint="eastAsia" w:eastAsiaTheme="minorEastAsia"/>
          <w:b/>
          <w:i/>
          <w:iCs/>
          <w:sz w:val="20"/>
          <w:szCs w:val="20"/>
        </w:rPr>
        <w:t xml:space="preserve">Proposal </w:t>
      </w:r>
      <w:r>
        <w:rPr>
          <w:rStyle w:val="120"/>
          <w:rFonts w:hint="eastAsia" w:eastAsiaTheme="minorEastAsia"/>
          <w:b/>
          <w:i/>
          <w:iCs/>
          <w:sz w:val="20"/>
          <w:szCs w:val="20"/>
          <w:lang w:val="en-US" w:eastAsia="zh-CN"/>
        </w:rPr>
        <w:t>5</w:t>
      </w:r>
      <w:r>
        <w:rPr>
          <w:rStyle w:val="120"/>
          <w:rFonts w:hint="eastAsia" w:eastAsiaTheme="minorEastAsia"/>
          <w:b/>
          <w:i/>
          <w:iCs/>
          <w:sz w:val="20"/>
          <w:szCs w:val="20"/>
        </w:rPr>
        <w:t>:</w:t>
      </w:r>
      <w:r>
        <w:rPr>
          <w:rStyle w:val="120"/>
          <w:rFonts w:hint="eastAsia" w:eastAsiaTheme="minorEastAsia"/>
          <w:bCs/>
          <w:i/>
          <w:iCs/>
          <w:sz w:val="20"/>
          <w:szCs w:val="20"/>
        </w:rPr>
        <w:t xml:space="preserve"> </w:t>
      </w:r>
      <w:r>
        <w:rPr>
          <w:rStyle w:val="120"/>
          <w:rFonts w:hint="eastAsia" w:eastAsiaTheme="minorEastAsia"/>
          <w:bCs/>
          <w:i/>
          <w:iCs/>
          <w:sz w:val="20"/>
          <w:szCs w:val="20"/>
          <w:lang w:val="en-US" w:eastAsia="zh-CN"/>
        </w:rPr>
        <w:t>S</w:t>
      </w:r>
      <w:r>
        <w:rPr>
          <w:rFonts w:hint="eastAsia" w:eastAsia="宋体"/>
          <w:i/>
          <w:iCs/>
          <w:sz w:val="20"/>
          <w:szCs w:val="20"/>
          <w:lang w:val="en-US" w:eastAsia="zh-CN"/>
        </w:rPr>
        <w:t>eparate rate matching around serving and non-serving cell SSB should be supported for PDSCH transmitted from the serving cell and the non-serving cell, respectively</w:t>
      </w:r>
      <w:r>
        <w:rPr>
          <w:rStyle w:val="120"/>
          <w:rFonts w:hint="eastAsia" w:eastAsiaTheme="minorEastAsia"/>
          <w:bCs/>
          <w:i/>
          <w:iCs/>
          <w:sz w:val="20"/>
          <w:szCs w:val="20"/>
        </w:rPr>
        <w:t>.</w:t>
      </w:r>
    </w:p>
    <w:p>
      <w:pPr>
        <w:pStyle w:val="2"/>
        <w:pageBreakBefore w:val="0"/>
        <w:tabs>
          <w:tab w:val="clear" w:pos="432"/>
        </w:tabs>
        <w:kinsoku/>
        <w:wordWrap/>
        <w:overflowPunct/>
        <w:topLinePunct w:val="0"/>
        <w:bidi w:val="0"/>
        <w:snapToGrid w:val="0"/>
        <w:spacing w:before="180" w:beforeLines="50" w:beforeAutospacing="0" w:after="180" w:afterLines="50" w:afterAutospacing="0" w:line="240" w:lineRule="auto"/>
        <w:ind w:left="431" w:hanging="431"/>
        <w:jc w:val="both"/>
        <w:textAlignment w:val="auto"/>
        <w:rPr>
          <w:rFonts w:ascii="Arial" w:hAnsi="Arial"/>
          <w:sz w:val="28"/>
          <w:lang w:val="en-US"/>
        </w:rPr>
      </w:pPr>
      <w:r>
        <w:rPr>
          <w:rFonts w:ascii="Arial" w:hAnsi="Arial"/>
          <w:sz w:val="28"/>
          <w:lang w:val="en-US"/>
        </w:rPr>
        <w:t>Conclusions</w:t>
      </w:r>
    </w:p>
    <w:p>
      <w:pPr>
        <w:pageBreakBefore w:val="0"/>
        <w:kinsoku/>
        <w:wordWrap/>
        <w:overflowPunct/>
        <w:topLinePunct w:val="0"/>
        <w:bidi w:val="0"/>
        <w:snapToGrid w:val="0"/>
        <w:spacing w:before="120" w:after="180" w:afterLines="50"/>
        <w:jc w:val="both"/>
        <w:textAlignment w:val="auto"/>
        <w:rPr>
          <w:rFonts w:eastAsia="微软雅黑"/>
          <w:szCs w:val="20"/>
        </w:rPr>
      </w:pPr>
      <w:r>
        <w:rPr>
          <w:rFonts w:hint="eastAsia" w:eastAsia="微软雅黑"/>
          <w:szCs w:val="20"/>
        </w:rPr>
        <w:t xml:space="preserve">Based on </w:t>
      </w:r>
      <w:r>
        <w:rPr>
          <w:rFonts w:eastAsia="微软雅黑"/>
          <w:szCs w:val="20"/>
        </w:rPr>
        <w:t xml:space="preserve">the </w:t>
      </w:r>
      <w:r>
        <w:rPr>
          <w:rFonts w:hint="eastAsia" w:eastAsia="微软雅黑"/>
          <w:szCs w:val="20"/>
        </w:rPr>
        <w:t xml:space="preserve">above discussion, we have following </w:t>
      </w:r>
      <w:r>
        <w:rPr>
          <w:rFonts w:eastAsia="微软雅黑"/>
          <w:szCs w:val="20"/>
        </w:rPr>
        <w:t>proposals.</w:t>
      </w:r>
    </w:p>
    <w:p>
      <w:pPr>
        <w:keepNext w:val="0"/>
        <w:keepLines w:val="0"/>
        <w:pageBreakBefore w:val="0"/>
        <w:widowControl/>
        <w:kinsoku/>
        <w:wordWrap/>
        <w:overflowPunct/>
        <w:topLinePunct w:val="0"/>
        <w:autoSpaceDE/>
        <w:autoSpaceDN/>
        <w:bidi w:val="0"/>
        <w:adjustRightInd/>
        <w:snapToGrid w:val="0"/>
        <w:spacing w:before="181" w:beforeLines="50" w:after="181" w:afterLines="50"/>
        <w:jc w:val="both"/>
        <w:textAlignment w:val="auto"/>
        <w:rPr>
          <w:rFonts w:hint="eastAsia" w:eastAsia="宋体"/>
          <w:i/>
          <w:iCs/>
          <w:szCs w:val="20"/>
          <w:lang w:val="en-US" w:eastAsia="zh-CN"/>
        </w:rPr>
      </w:pPr>
      <w:r>
        <w:rPr>
          <w:rFonts w:hint="eastAsia"/>
          <w:b/>
          <w:bCs/>
          <w:i/>
          <w:iCs/>
          <w:lang w:val="en-US" w:eastAsia="zh-CN"/>
        </w:rPr>
        <w:t>Proposal 1:</w:t>
      </w:r>
      <w:r>
        <w:rPr>
          <w:rFonts w:hint="eastAsia"/>
          <w:i/>
          <w:iCs/>
          <w:lang w:val="en-US" w:eastAsia="zh-CN"/>
        </w:rPr>
        <w:t xml:space="preserve"> The information of non-serving cell SSB should at least includes </w:t>
      </w:r>
      <w:r>
        <w:rPr>
          <w:rFonts w:hint="eastAsia" w:eastAsia="宋体"/>
          <w:i/>
          <w:iCs/>
          <w:szCs w:val="20"/>
        </w:rPr>
        <w:t>PCI, center frequency, SCS</w:t>
      </w:r>
      <w:r>
        <w:rPr>
          <w:rFonts w:hint="eastAsia" w:eastAsia="宋体"/>
          <w:i/>
          <w:iCs/>
          <w:szCs w:val="20"/>
          <w:lang w:val="en-US" w:eastAsia="zh-CN"/>
        </w:rPr>
        <w:t>,</w:t>
      </w:r>
      <w:r>
        <w:rPr>
          <w:rFonts w:hint="eastAsia" w:eastAsia="宋体"/>
          <w:i/>
          <w:iCs/>
          <w:szCs w:val="20"/>
        </w:rPr>
        <w:t xml:space="preserve"> </w:t>
      </w:r>
      <w:r>
        <w:rPr>
          <w:rFonts w:hint="eastAsia" w:eastAsia="宋体"/>
          <w:i/>
          <w:iCs/>
          <w:szCs w:val="20"/>
          <w:lang w:val="en-US" w:eastAsia="zh-CN"/>
        </w:rPr>
        <w:t>SMTC, and SFN offset.</w:t>
      </w:r>
    </w:p>
    <w:p>
      <w:pPr>
        <w:pageBreakBefore w:val="0"/>
        <w:kinsoku/>
        <w:wordWrap/>
        <w:overflowPunct/>
        <w:topLinePunct w:val="0"/>
        <w:bidi w:val="0"/>
        <w:snapToGrid w:val="0"/>
        <w:jc w:val="both"/>
        <w:textAlignment w:val="auto"/>
        <w:rPr>
          <w:rFonts w:hint="eastAsia"/>
          <w:i/>
          <w:iCs/>
          <w:lang w:val="en-US" w:eastAsia="zh-CN"/>
        </w:rPr>
      </w:pPr>
      <w:r>
        <w:rPr>
          <w:rFonts w:hint="eastAsia"/>
          <w:b/>
          <w:bCs/>
          <w:i/>
          <w:iCs/>
          <w:lang w:val="en-US" w:eastAsia="zh-CN"/>
        </w:rPr>
        <w:t>Proposal 2:</w:t>
      </w:r>
      <w:r>
        <w:rPr>
          <w:rFonts w:hint="eastAsia"/>
          <w:i/>
          <w:iCs/>
          <w:lang w:val="en-US" w:eastAsia="zh-CN"/>
        </w:rPr>
        <w:t xml:space="preserve"> Support to introduce a new RRC IE linking with some TCI states. </w:t>
      </w:r>
    </w:p>
    <w:p>
      <w:pPr>
        <w:pageBreakBefore w:val="0"/>
        <w:numPr>
          <w:ilvl w:val="0"/>
          <w:numId w:val="6"/>
        </w:numPr>
        <w:kinsoku/>
        <w:wordWrap/>
        <w:overflowPunct/>
        <w:topLinePunct w:val="0"/>
        <w:bidi w:val="0"/>
        <w:snapToGrid w:val="0"/>
        <w:ind w:left="840" w:hanging="420"/>
        <w:jc w:val="both"/>
        <w:textAlignment w:val="auto"/>
        <w:rPr>
          <w:rFonts w:hint="eastAsia" w:eastAsia="宋体"/>
          <w:i/>
          <w:iCs/>
        </w:rPr>
      </w:pPr>
      <w:r>
        <w:rPr>
          <w:rFonts w:hint="eastAsia"/>
          <w:i/>
          <w:iCs/>
          <w:lang w:val="en-US" w:eastAsia="zh-CN"/>
        </w:rPr>
        <w:t>At least</w:t>
      </w:r>
      <w:r>
        <w:rPr>
          <w:rFonts w:hint="eastAsia" w:eastAsia="宋体"/>
          <w:i/>
          <w:iCs/>
          <w:lang w:val="en-US" w:eastAsia="zh-CN"/>
        </w:rPr>
        <w:t xml:space="preserve"> </w:t>
      </w:r>
      <w:r>
        <w:rPr>
          <w:i/>
          <w:iCs/>
        </w:rPr>
        <w:t>MeasObjectId</w:t>
      </w:r>
      <w:r>
        <w:rPr>
          <w:rFonts w:hint="eastAsia" w:eastAsia="宋体"/>
          <w:i/>
          <w:iCs/>
        </w:rPr>
        <w:t xml:space="preserve"> and PCI </w:t>
      </w:r>
      <w:r>
        <w:rPr>
          <w:rFonts w:hint="eastAsia" w:eastAsia="宋体"/>
          <w:i/>
          <w:iCs/>
          <w:lang w:val="en-US" w:eastAsia="zh-CN"/>
        </w:rPr>
        <w:t>should be contained in the new IE</w:t>
      </w:r>
      <w:r>
        <w:rPr>
          <w:rFonts w:hint="eastAsia" w:eastAsia="宋体"/>
          <w:i/>
          <w:iCs/>
        </w:rPr>
        <w:t>.</w:t>
      </w:r>
    </w:p>
    <w:p>
      <w:pPr>
        <w:pageBreakBefore w:val="0"/>
        <w:kinsoku/>
        <w:wordWrap/>
        <w:overflowPunct/>
        <w:topLinePunct w:val="0"/>
        <w:bidi w:val="0"/>
        <w:snapToGrid w:val="0"/>
        <w:spacing w:before="180" w:beforeLines="50"/>
        <w:jc w:val="both"/>
        <w:textAlignment w:val="auto"/>
        <w:rPr>
          <w:rFonts w:eastAsia="宋体"/>
          <w:i/>
          <w:iCs/>
          <w:sz w:val="20"/>
          <w:szCs w:val="20"/>
        </w:rPr>
      </w:pPr>
      <w:r>
        <w:rPr>
          <w:rFonts w:hint="eastAsia" w:eastAsia="宋体"/>
          <w:b/>
          <w:bCs/>
          <w:i/>
          <w:iCs/>
          <w:sz w:val="20"/>
          <w:szCs w:val="20"/>
        </w:rPr>
        <w:t xml:space="preserve">Proposal </w:t>
      </w:r>
      <w:r>
        <w:rPr>
          <w:rFonts w:hint="eastAsia" w:eastAsia="宋体"/>
          <w:b/>
          <w:bCs/>
          <w:i/>
          <w:iCs/>
          <w:sz w:val="20"/>
          <w:szCs w:val="20"/>
          <w:lang w:val="en-US" w:eastAsia="zh-CN"/>
        </w:rPr>
        <w:t>3</w:t>
      </w:r>
      <w:r>
        <w:rPr>
          <w:rFonts w:hint="eastAsia" w:eastAsia="宋体"/>
          <w:b/>
          <w:bCs/>
          <w:i/>
          <w:iCs/>
          <w:sz w:val="20"/>
          <w:szCs w:val="20"/>
        </w:rPr>
        <w:t>:</w:t>
      </w:r>
      <w:r>
        <w:rPr>
          <w:rFonts w:hint="eastAsia" w:eastAsia="宋体"/>
          <w:i/>
          <w:iCs/>
          <w:sz w:val="20"/>
          <w:szCs w:val="20"/>
        </w:rPr>
        <w:t xml:space="preserve"> All TCI states should be split into two groups corresponding to the serving cell and the </w:t>
      </w:r>
      <w:r>
        <w:rPr>
          <w:rFonts w:hint="eastAsia" w:eastAsia="宋体"/>
          <w:i/>
          <w:iCs/>
          <w:sz w:val="20"/>
          <w:szCs w:val="20"/>
          <w:lang w:val="en-US" w:eastAsia="zh-CN"/>
        </w:rPr>
        <w:t xml:space="preserve">non-serving </w:t>
      </w:r>
      <w:r>
        <w:rPr>
          <w:rFonts w:hint="eastAsia" w:eastAsia="宋体"/>
          <w:i/>
          <w:iCs/>
          <w:sz w:val="20"/>
          <w:szCs w:val="20"/>
        </w:rPr>
        <w:t>cell respectively.</w:t>
      </w:r>
    </w:p>
    <w:p>
      <w:pPr>
        <w:pageBreakBefore w:val="0"/>
        <w:numPr>
          <w:ilvl w:val="0"/>
          <w:numId w:val="7"/>
        </w:numPr>
        <w:kinsoku/>
        <w:wordWrap/>
        <w:overflowPunct/>
        <w:topLinePunct w:val="0"/>
        <w:bidi w:val="0"/>
        <w:snapToGrid w:val="0"/>
        <w:spacing w:after="180" w:afterLines="50"/>
        <w:ind w:left="840" w:hanging="420" w:firstLineChars="0"/>
        <w:jc w:val="both"/>
        <w:textAlignment w:val="auto"/>
        <w:rPr>
          <w:rFonts w:hint="eastAsia" w:eastAsia="宋体"/>
          <w:i/>
          <w:iCs/>
          <w:sz w:val="20"/>
          <w:szCs w:val="20"/>
        </w:rPr>
      </w:pPr>
      <w:r>
        <w:rPr>
          <w:rFonts w:hint="eastAsia" w:eastAsia="宋体"/>
          <w:i/>
          <w:iCs/>
          <w:sz w:val="20"/>
          <w:szCs w:val="20"/>
        </w:rPr>
        <w:t xml:space="preserve">Each group is associated with a </w:t>
      </w:r>
      <w:r>
        <w:rPr>
          <w:rFonts w:hint="eastAsia" w:eastAsia="宋体"/>
          <w:i/>
          <w:iCs/>
          <w:szCs w:val="20"/>
        </w:rPr>
        <w:t>CORESETPoolIndex</w:t>
      </w:r>
      <w:r>
        <w:rPr>
          <w:rFonts w:hint="eastAsia" w:eastAsia="宋体"/>
          <w:szCs w:val="20"/>
        </w:rPr>
        <w:t xml:space="preserve"> </w:t>
      </w:r>
      <w:r>
        <w:rPr>
          <w:rFonts w:hint="eastAsia" w:eastAsia="宋体"/>
          <w:i/>
          <w:iCs/>
          <w:sz w:val="20"/>
          <w:szCs w:val="20"/>
        </w:rPr>
        <w:t>value.</w:t>
      </w:r>
    </w:p>
    <w:p>
      <w:pPr>
        <w:pStyle w:val="16"/>
        <w:pageBreakBefore w:val="0"/>
        <w:kinsoku/>
        <w:wordWrap/>
        <w:overflowPunct/>
        <w:topLinePunct w:val="0"/>
        <w:bidi w:val="0"/>
        <w:snapToGrid w:val="0"/>
        <w:spacing w:before="180" w:beforeLines="50" w:after="180" w:afterLines="50"/>
        <w:jc w:val="both"/>
        <w:textAlignment w:val="auto"/>
        <w:rPr>
          <w:rStyle w:val="120"/>
          <w:rFonts w:eastAsia="宋体"/>
          <w:bCs/>
          <w:i/>
          <w:iCs/>
          <w:sz w:val="20"/>
        </w:rPr>
      </w:pPr>
      <w:r>
        <w:rPr>
          <w:rStyle w:val="120"/>
          <w:rFonts w:hint="eastAsia" w:eastAsiaTheme="minorEastAsia"/>
          <w:b/>
          <w:i/>
          <w:iCs/>
          <w:sz w:val="20"/>
        </w:rPr>
        <w:t>Proposal 4:</w:t>
      </w:r>
      <w:r>
        <w:rPr>
          <w:rStyle w:val="120"/>
          <w:rFonts w:hint="eastAsia" w:eastAsiaTheme="minorEastAsia"/>
          <w:bCs/>
          <w:i/>
          <w:iCs/>
          <w:sz w:val="20"/>
        </w:rPr>
        <w:t xml:space="preserve"> </w:t>
      </w:r>
      <w:r>
        <w:rPr>
          <w:rStyle w:val="120"/>
          <w:rFonts w:hint="eastAsia" w:eastAsia="宋体"/>
          <w:bCs/>
          <w:i/>
          <w:iCs/>
          <w:sz w:val="20"/>
        </w:rPr>
        <w:t>Support</w:t>
      </w:r>
      <w:r>
        <w:rPr>
          <w:rStyle w:val="120"/>
          <w:rFonts w:eastAsia="宋体"/>
          <w:bCs/>
          <w:i/>
          <w:iCs/>
          <w:sz w:val="20"/>
        </w:rPr>
        <w:t xml:space="preserve"> neighbor cell TRS as the QCL source, where the sequence generation of the </w:t>
      </w:r>
      <w:r>
        <w:rPr>
          <w:rFonts w:hint="eastAsia" w:eastAsia="宋体"/>
          <w:i/>
          <w:iCs/>
          <w:sz w:val="20"/>
          <w:szCs w:val="20"/>
          <w:lang w:val="en-US" w:eastAsia="zh-CN"/>
        </w:rPr>
        <w:t xml:space="preserve">non-serving </w:t>
      </w:r>
      <w:r>
        <w:rPr>
          <w:rStyle w:val="120"/>
          <w:rFonts w:hint="eastAsia" w:eastAsia="宋体"/>
          <w:bCs/>
          <w:i/>
          <w:iCs/>
          <w:sz w:val="20"/>
        </w:rPr>
        <w:t>cell</w:t>
      </w:r>
      <w:r>
        <w:rPr>
          <w:rStyle w:val="120"/>
          <w:rFonts w:eastAsia="宋体"/>
          <w:bCs/>
          <w:i/>
          <w:iCs/>
          <w:sz w:val="20"/>
        </w:rPr>
        <w:t xml:space="preserve"> TRS is based on slot index of </w:t>
      </w:r>
      <w:r>
        <w:rPr>
          <w:rFonts w:hint="eastAsia" w:eastAsia="宋体"/>
          <w:i/>
          <w:iCs/>
          <w:sz w:val="20"/>
          <w:szCs w:val="20"/>
          <w:lang w:val="en-US" w:eastAsia="zh-CN"/>
        </w:rPr>
        <w:t xml:space="preserve">non-serving </w:t>
      </w:r>
      <w:r>
        <w:rPr>
          <w:rStyle w:val="120"/>
          <w:rFonts w:eastAsia="宋体"/>
          <w:bCs/>
          <w:i/>
          <w:iCs/>
          <w:sz w:val="20"/>
        </w:rPr>
        <w:t>cell.</w:t>
      </w:r>
    </w:p>
    <w:p>
      <w:pPr>
        <w:pStyle w:val="16"/>
        <w:pageBreakBefore w:val="0"/>
        <w:kinsoku/>
        <w:wordWrap/>
        <w:overflowPunct/>
        <w:topLinePunct w:val="0"/>
        <w:bidi w:val="0"/>
        <w:snapToGrid w:val="0"/>
        <w:spacing w:before="180" w:beforeLines="50" w:after="180" w:afterLines="50"/>
        <w:jc w:val="both"/>
        <w:textAlignment w:val="auto"/>
        <w:rPr>
          <w:rFonts w:hint="default" w:eastAsia="宋体"/>
          <w:i/>
          <w:iCs/>
          <w:sz w:val="20"/>
          <w:szCs w:val="20"/>
          <w:lang w:val="en-US" w:eastAsia="zh-CN"/>
        </w:rPr>
      </w:pPr>
      <w:r>
        <w:rPr>
          <w:rStyle w:val="120"/>
          <w:rFonts w:hint="eastAsia" w:eastAsiaTheme="minorEastAsia"/>
          <w:b/>
          <w:i/>
          <w:iCs/>
          <w:sz w:val="20"/>
          <w:szCs w:val="20"/>
        </w:rPr>
        <w:t xml:space="preserve">Proposal </w:t>
      </w:r>
      <w:r>
        <w:rPr>
          <w:rStyle w:val="120"/>
          <w:rFonts w:hint="eastAsia" w:eastAsiaTheme="minorEastAsia"/>
          <w:b/>
          <w:i/>
          <w:iCs/>
          <w:sz w:val="20"/>
          <w:szCs w:val="20"/>
          <w:lang w:val="en-US" w:eastAsia="zh-CN"/>
        </w:rPr>
        <w:t>5</w:t>
      </w:r>
      <w:r>
        <w:rPr>
          <w:rStyle w:val="120"/>
          <w:rFonts w:hint="eastAsia" w:eastAsiaTheme="minorEastAsia"/>
          <w:b/>
          <w:i/>
          <w:iCs/>
          <w:sz w:val="20"/>
          <w:szCs w:val="20"/>
        </w:rPr>
        <w:t>:</w:t>
      </w:r>
      <w:r>
        <w:rPr>
          <w:rStyle w:val="120"/>
          <w:rFonts w:hint="eastAsia" w:eastAsiaTheme="minorEastAsia"/>
          <w:bCs/>
          <w:i/>
          <w:iCs/>
          <w:sz w:val="20"/>
          <w:szCs w:val="20"/>
        </w:rPr>
        <w:t xml:space="preserve"> </w:t>
      </w:r>
      <w:r>
        <w:rPr>
          <w:rStyle w:val="120"/>
          <w:rFonts w:hint="eastAsia" w:eastAsiaTheme="minorEastAsia"/>
          <w:bCs/>
          <w:i/>
          <w:iCs/>
          <w:sz w:val="20"/>
          <w:szCs w:val="20"/>
          <w:lang w:val="en-US" w:eastAsia="zh-CN"/>
        </w:rPr>
        <w:t>S</w:t>
      </w:r>
      <w:r>
        <w:rPr>
          <w:rFonts w:hint="eastAsia" w:eastAsia="宋体"/>
          <w:i/>
          <w:iCs/>
          <w:sz w:val="20"/>
          <w:szCs w:val="20"/>
          <w:lang w:val="en-US" w:eastAsia="zh-CN"/>
        </w:rPr>
        <w:t>eparate rate matching around serving and non-serving cell SSB should be supported for PDSCH transmitted from the serving cell and the non-serving cell, respectively</w:t>
      </w:r>
      <w:r>
        <w:rPr>
          <w:rStyle w:val="120"/>
          <w:rFonts w:hint="eastAsia" w:eastAsiaTheme="minorEastAsia"/>
          <w:bCs/>
          <w:i/>
          <w:iCs/>
          <w:sz w:val="20"/>
          <w:szCs w:val="20"/>
        </w:rPr>
        <w:t>.</w:t>
      </w:r>
    </w:p>
    <w:p>
      <w:pPr>
        <w:pStyle w:val="2"/>
        <w:pageBreakBefore w:val="0"/>
        <w:tabs>
          <w:tab w:val="clear" w:pos="432"/>
        </w:tabs>
        <w:kinsoku/>
        <w:wordWrap/>
        <w:overflowPunct/>
        <w:topLinePunct w:val="0"/>
        <w:bidi w:val="0"/>
        <w:snapToGrid w:val="0"/>
        <w:spacing w:before="180" w:beforeLines="50" w:beforeAutospacing="0" w:after="180" w:afterLines="50" w:afterAutospacing="0" w:line="240" w:lineRule="auto"/>
        <w:ind w:left="431" w:hanging="431"/>
        <w:jc w:val="both"/>
        <w:textAlignment w:val="auto"/>
        <w:rPr>
          <w:rFonts w:ascii="Arial" w:hAnsi="Arial"/>
          <w:sz w:val="28"/>
          <w:lang w:val="en-US"/>
        </w:rPr>
      </w:pPr>
      <w:r>
        <w:rPr>
          <w:rFonts w:ascii="Arial" w:hAnsi="Arial"/>
          <w:sz w:val="28"/>
          <w:lang w:val="en-US"/>
        </w:rPr>
        <w:t>References</w:t>
      </w:r>
      <w:bookmarkStart w:id="1" w:name="_Ref446511358"/>
      <w:bookmarkEnd w:id="1"/>
      <w:bookmarkStart w:id="2" w:name="_Ref446507216"/>
      <w:bookmarkEnd w:id="2"/>
      <w:bookmarkStart w:id="3" w:name="_Ref446506608"/>
      <w:bookmarkEnd w:id="3"/>
    </w:p>
    <w:p>
      <w:pPr>
        <w:pageBreakBefore w:val="0"/>
        <w:numPr>
          <w:ilvl w:val="0"/>
          <w:numId w:val="8"/>
        </w:numPr>
        <w:kinsoku/>
        <w:wordWrap/>
        <w:overflowPunct/>
        <w:topLinePunct w:val="0"/>
        <w:bidi w:val="0"/>
        <w:snapToGrid w:val="0"/>
        <w:jc w:val="both"/>
        <w:textAlignment w:val="auto"/>
        <w:rPr>
          <w:rFonts w:eastAsia="宋体"/>
        </w:rPr>
      </w:pPr>
      <w:r>
        <w:rPr>
          <w:rFonts w:hint="eastAsia"/>
          <w:szCs w:val="20"/>
        </w:rPr>
        <w:t xml:space="preserve">RAN1 </w:t>
      </w:r>
      <w:r>
        <w:rPr>
          <w:rFonts w:hint="eastAsia" w:eastAsia="宋体"/>
          <w:szCs w:val="20"/>
        </w:rPr>
        <w:t>Chairman's Notes RAN1#103-e final</w:t>
      </w:r>
      <w:r>
        <w:rPr>
          <w:rFonts w:hint="eastAsia" w:eastAsia="宋体"/>
          <w:szCs w:val="20"/>
          <w:lang w:val="en-US" w:eastAsia="zh-CN"/>
        </w:rPr>
        <w:t>.</w:t>
      </w:r>
    </w:p>
    <w:p>
      <w:pPr>
        <w:pageBreakBefore w:val="0"/>
        <w:numPr>
          <w:ilvl w:val="0"/>
          <w:numId w:val="8"/>
        </w:numPr>
        <w:kinsoku/>
        <w:wordWrap/>
        <w:overflowPunct/>
        <w:topLinePunct w:val="0"/>
        <w:bidi w:val="0"/>
        <w:snapToGrid w:val="0"/>
        <w:jc w:val="both"/>
        <w:textAlignment w:val="auto"/>
        <w:rPr>
          <w:rFonts w:eastAsia="宋体"/>
        </w:rPr>
      </w:pPr>
      <w:r>
        <w:rPr>
          <w:rFonts w:hint="eastAsia" w:eastAsia="宋体"/>
        </w:rPr>
        <w:t>3GPP TS 38.211 V16.</w:t>
      </w:r>
      <w:r>
        <w:rPr>
          <w:rFonts w:hint="eastAsia" w:eastAsia="宋体"/>
          <w:lang w:val="en-US" w:eastAsia="zh-CN"/>
        </w:rPr>
        <w:t>4</w:t>
      </w:r>
      <w:r>
        <w:rPr>
          <w:rFonts w:hint="eastAsia" w:eastAsia="宋体"/>
        </w:rPr>
        <w:t xml:space="preserve">.0, subclause 7.4.1.5.2: </w:t>
      </w:r>
      <w:r>
        <w:t>Sequenc</w:t>
      </w:r>
      <w:bookmarkStart w:id="4" w:name="_GoBack"/>
      <w:bookmarkEnd w:id="4"/>
      <w:r>
        <w:t>e generation</w:t>
      </w:r>
      <w:r>
        <w:rPr>
          <w:rFonts w:hint="eastAsia" w:eastAsia="宋体"/>
        </w:rPr>
        <w:t>.</w:t>
      </w: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EBDEC6C5"/>
    <w:multiLevelType w:val="singleLevel"/>
    <w:tmpl w:val="EBDEC6C5"/>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Arial" w:hAnsi="Arial" w:eastAsia="宋体" w:cs="Arial"/>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4">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BB840CE"/>
    <w:multiLevelType w:val="singleLevel"/>
    <w:tmpl w:val="4BB840CE"/>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7">
    <w:nsid w:val="5BEB212E"/>
    <w:multiLevelType w:val="multilevel"/>
    <w:tmpl w:val="5BEB212E"/>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2"/>
  </w:num>
  <w:num w:numId="4">
    <w:abstractNumId w:val="5"/>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0D6"/>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49B"/>
    <w:rsid w:val="00005751"/>
    <w:rsid w:val="0000594B"/>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9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BD7"/>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680"/>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42A"/>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46"/>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B3D"/>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0F50"/>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B7"/>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DC"/>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B7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670"/>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2E3"/>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5EE3"/>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4B3"/>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A6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DB"/>
    <w:rsid w:val="002D31FB"/>
    <w:rsid w:val="002D357A"/>
    <w:rsid w:val="002D35A4"/>
    <w:rsid w:val="002D3A57"/>
    <w:rsid w:val="002D402A"/>
    <w:rsid w:val="002D4142"/>
    <w:rsid w:val="002D4327"/>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6FC"/>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3C3"/>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004"/>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1BA"/>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85D"/>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D63"/>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76A"/>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6FB"/>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28C"/>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A1"/>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2AE"/>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375"/>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48"/>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7DB"/>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DC5"/>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4E5A"/>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A7"/>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913"/>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24"/>
    <w:rsid w:val="00672C47"/>
    <w:rsid w:val="00672D10"/>
    <w:rsid w:val="00672D75"/>
    <w:rsid w:val="0067327C"/>
    <w:rsid w:val="0067327E"/>
    <w:rsid w:val="0067347C"/>
    <w:rsid w:val="006734A3"/>
    <w:rsid w:val="006735F4"/>
    <w:rsid w:val="006737EE"/>
    <w:rsid w:val="006738A4"/>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AAF"/>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88"/>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CD2"/>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6BD"/>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AE0"/>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DD2"/>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2DD6"/>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71"/>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D4"/>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2D1"/>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114"/>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452"/>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BE"/>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CB4"/>
    <w:rsid w:val="007F7D8F"/>
    <w:rsid w:val="007F7D9E"/>
    <w:rsid w:val="007F7DA2"/>
    <w:rsid w:val="007F7DED"/>
    <w:rsid w:val="00800796"/>
    <w:rsid w:val="008007C7"/>
    <w:rsid w:val="00800921"/>
    <w:rsid w:val="00800959"/>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0"/>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16D"/>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66"/>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CA4"/>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ABA"/>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AF7"/>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D29"/>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B4F"/>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DCE"/>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97C"/>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BC"/>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2F78"/>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051"/>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CBF"/>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66E"/>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1834"/>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8B6"/>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07"/>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A95"/>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CFD"/>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116"/>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75A"/>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976"/>
    <w:rsid w:val="00B13BEF"/>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80"/>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181"/>
    <w:rsid w:val="00B364E2"/>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CE"/>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43"/>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8BF"/>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1FA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12"/>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33C"/>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551"/>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DE8"/>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A24"/>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921"/>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3E00"/>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7EA"/>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C94"/>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5A"/>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A59"/>
    <w:rsid w:val="00D40D83"/>
    <w:rsid w:val="00D41318"/>
    <w:rsid w:val="00D4138A"/>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431"/>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6CA1"/>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888"/>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46"/>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108"/>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238"/>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10"/>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615"/>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385"/>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DD0"/>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4EB"/>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55D"/>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6D2"/>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180B9B"/>
    <w:rsid w:val="01280BF3"/>
    <w:rsid w:val="012B3030"/>
    <w:rsid w:val="013D6F71"/>
    <w:rsid w:val="014C6490"/>
    <w:rsid w:val="015F06F1"/>
    <w:rsid w:val="015F734B"/>
    <w:rsid w:val="01636D41"/>
    <w:rsid w:val="01651E70"/>
    <w:rsid w:val="01695898"/>
    <w:rsid w:val="016C0A1F"/>
    <w:rsid w:val="01780E1F"/>
    <w:rsid w:val="018C705C"/>
    <w:rsid w:val="01963534"/>
    <w:rsid w:val="019863D8"/>
    <w:rsid w:val="01AD105E"/>
    <w:rsid w:val="01B85CFE"/>
    <w:rsid w:val="01DB78E1"/>
    <w:rsid w:val="01E63A9C"/>
    <w:rsid w:val="01EC5904"/>
    <w:rsid w:val="01F6255D"/>
    <w:rsid w:val="020B64C6"/>
    <w:rsid w:val="0210087D"/>
    <w:rsid w:val="024922D4"/>
    <w:rsid w:val="0254496F"/>
    <w:rsid w:val="02590ECE"/>
    <w:rsid w:val="025C60B9"/>
    <w:rsid w:val="025D0483"/>
    <w:rsid w:val="0263075E"/>
    <w:rsid w:val="027E37F5"/>
    <w:rsid w:val="02816A16"/>
    <w:rsid w:val="02892D0F"/>
    <w:rsid w:val="02911C0E"/>
    <w:rsid w:val="02B23334"/>
    <w:rsid w:val="02CB318E"/>
    <w:rsid w:val="02E60F49"/>
    <w:rsid w:val="02F75AF2"/>
    <w:rsid w:val="02FA772F"/>
    <w:rsid w:val="030628EF"/>
    <w:rsid w:val="031D29F5"/>
    <w:rsid w:val="032979AF"/>
    <w:rsid w:val="033624DF"/>
    <w:rsid w:val="034F03FF"/>
    <w:rsid w:val="03574F65"/>
    <w:rsid w:val="035A17B2"/>
    <w:rsid w:val="0364021E"/>
    <w:rsid w:val="03663A2A"/>
    <w:rsid w:val="03705764"/>
    <w:rsid w:val="03736763"/>
    <w:rsid w:val="038A570F"/>
    <w:rsid w:val="039E490B"/>
    <w:rsid w:val="03A06A49"/>
    <w:rsid w:val="03A2514F"/>
    <w:rsid w:val="03A66738"/>
    <w:rsid w:val="03AD28EF"/>
    <w:rsid w:val="03AD2B09"/>
    <w:rsid w:val="03C551FF"/>
    <w:rsid w:val="03C62B27"/>
    <w:rsid w:val="03CA4BC5"/>
    <w:rsid w:val="03CD42FF"/>
    <w:rsid w:val="03D0372E"/>
    <w:rsid w:val="03D05425"/>
    <w:rsid w:val="03E85B99"/>
    <w:rsid w:val="03EA1CFF"/>
    <w:rsid w:val="03ED1A58"/>
    <w:rsid w:val="03EF11E1"/>
    <w:rsid w:val="03F25073"/>
    <w:rsid w:val="0407149F"/>
    <w:rsid w:val="040B72AA"/>
    <w:rsid w:val="04107DDA"/>
    <w:rsid w:val="04222EF0"/>
    <w:rsid w:val="04251C2B"/>
    <w:rsid w:val="04281C7E"/>
    <w:rsid w:val="042827BF"/>
    <w:rsid w:val="04350065"/>
    <w:rsid w:val="043B4BBE"/>
    <w:rsid w:val="04891255"/>
    <w:rsid w:val="048B728A"/>
    <w:rsid w:val="04A32EBA"/>
    <w:rsid w:val="04AC35F7"/>
    <w:rsid w:val="04AC52FB"/>
    <w:rsid w:val="04AF26AA"/>
    <w:rsid w:val="04B42B59"/>
    <w:rsid w:val="04BE11AE"/>
    <w:rsid w:val="04CF3F94"/>
    <w:rsid w:val="04DF01BD"/>
    <w:rsid w:val="04E26543"/>
    <w:rsid w:val="051103B4"/>
    <w:rsid w:val="051B5F92"/>
    <w:rsid w:val="052A14E7"/>
    <w:rsid w:val="052A64E9"/>
    <w:rsid w:val="053A1C6F"/>
    <w:rsid w:val="056A14EF"/>
    <w:rsid w:val="057E01D9"/>
    <w:rsid w:val="058224DD"/>
    <w:rsid w:val="05955E24"/>
    <w:rsid w:val="05A279D2"/>
    <w:rsid w:val="05A56BB5"/>
    <w:rsid w:val="05CA4822"/>
    <w:rsid w:val="05CC1FD8"/>
    <w:rsid w:val="05CF0362"/>
    <w:rsid w:val="05D10E9A"/>
    <w:rsid w:val="05D32D84"/>
    <w:rsid w:val="05D7661F"/>
    <w:rsid w:val="05DC59BB"/>
    <w:rsid w:val="05E26AB9"/>
    <w:rsid w:val="05FC1701"/>
    <w:rsid w:val="060E3A4E"/>
    <w:rsid w:val="062D0004"/>
    <w:rsid w:val="063A4316"/>
    <w:rsid w:val="063F3A35"/>
    <w:rsid w:val="06625EB3"/>
    <w:rsid w:val="066D797B"/>
    <w:rsid w:val="06811C9D"/>
    <w:rsid w:val="06842305"/>
    <w:rsid w:val="0685217E"/>
    <w:rsid w:val="068B1A17"/>
    <w:rsid w:val="06926190"/>
    <w:rsid w:val="069E5179"/>
    <w:rsid w:val="06A27BF1"/>
    <w:rsid w:val="06A966F0"/>
    <w:rsid w:val="06AF2B54"/>
    <w:rsid w:val="06CD5F42"/>
    <w:rsid w:val="06D24771"/>
    <w:rsid w:val="06D626BD"/>
    <w:rsid w:val="06F4563B"/>
    <w:rsid w:val="06FA06F9"/>
    <w:rsid w:val="070263EC"/>
    <w:rsid w:val="070265EF"/>
    <w:rsid w:val="07086832"/>
    <w:rsid w:val="07313446"/>
    <w:rsid w:val="07400E52"/>
    <w:rsid w:val="07457F2F"/>
    <w:rsid w:val="07482EEB"/>
    <w:rsid w:val="07663B0C"/>
    <w:rsid w:val="076765E4"/>
    <w:rsid w:val="07700142"/>
    <w:rsid w:val="078A2B93"/>
    <w:rsid w:val="07961FBF"/>
    <w:rsid w:val="079A0A61"/>
    <w:rsid w:val="079D21B1"/>
    <w:rsid w:val="07C44C77"/>
    <w:rsid w:val="07C90E92"/>
    <w:rsid w:val="07E227F9"/>
    <w:rsid w:val="07F22C33"/>
    <w:rsid w:val="07F247A2"/>
    <w:rsid w:val="07F3763F"/>
    <w:rsid w:val="07F74126"/>
    <w:rsid w:val="07FE1CA4"/>
    <w:rsid w:val="08190451"/>
    <w:rsid w:val="081A2BDD"/>
    <w:rsid w:val="08285EAC"/>
    <w:rsid w:val="0837062F"/>
    <w:rsid w:val="083F0B6F"/>
    <w:rsid w:val="084954D6"/>
    <w:rsid w:val="084B6C81"/>
    <w:rsid w:val="084F40CE"/>
    <w:rsid w:val="08587564"/>
    <w:rsid w:val="086A13BD"/>
    <w:rsid w:val="087D5321"/>
    <w:rsid w:val="08805EFE"/>
    <w:rsid w:val="089C541C"/>
    <w:rsid w:val="08A12D8B"/>
    <w:rsid w:val="08A1519A"/>
    <w:rsid w:val="08A807EF"/>
    <w:rsid w:val="08AD7352"/>
    <w:rsid w:val="08B10C46"/>
    <w:rsid w:val="08CF26D9"/>
    <w:rsid w:val="08CF5DD6"/>
    <w:rsid w:val="08D649BB"/>
    <w:rsid w:val="08E14ED5"/>
    <w:rsid w:val="08EC080A"/>
    <w:rsid w:val="08EF3AF5"/>
    <w:rsid w:val="08FC454D"/>
    <w:rsid w:val="090E43AD"/>
    <w:rsid w:val="092267A1"/>
    <w:rsid w:val="093352C8"/>
    <w:rsid w:val="09355A5A"/>
    <w:rsid w:val="094A3425"/>
    <w:rsid w:val="094B3478"/>
    <w:rsid w:val="09521F45"/>
    <w:rsid w:val="09647A07"/>
    <w:rsid w:val="096C61CD"/>
    <w:rsid w:val="09973371"/>
    <w:rsid w:val="09A04D3F"/>
    <w:rsid w:val="09A50D41"/>
    <w:rsid w:val="09A63558"/>
    <w:rsid w:val="09A72A18"/>
    <w:rsid w:val="09C95166"/>
    <w:rsid w:val="09DE297E"/>
    <w:rsid w:val="09F01539"/>
    <w:rsid w:val="0A057456"/>
    <w:rsid w:val="0A257554"/>
    <w:rsid w:val="0A340D57"/>
    <w:rsid w:val="0A3D3F5A"/>
    <w:rsid w:val="0A4050DC"/>
    <w:rsid w:val="0A5E54BB"/>
    <w:rsid w:val="0AAB733F"/>
    <w:rsid w:val="0AB61A46"/>
    <w:rsid w:val="0ABA06F0"/>
    <w:rsid w:val="0ABE7BB8"/>
    <w:rsid w:val="0AC42A22"/>
    <w:rsid w:val="0AC43612"/>
    <w:rsid w:val="0ADE1ED0"/>
    <w:rsid w:val="0AE27C3A"/>
    <w:rsid w:val="0AE852E5"/>
    <w:rsid w:val="0AFF5746"/>
    <w:rsid w:val="0B0E7577"/>
    <w:rsid w:val="0B1105A4"/>
    <w:rsid w:val="0B261605"/>
    <w:rsid w:val="0B33375E"/>
    <w:rsid w:val="0B3D6687"/>
    <w:rsid w:val="0B5267B5"/>
    <w:rsid w:val="0B78261E"/>
    <w:rsid w:val="0B7A16F5"/>
    <w:rsid w:val="0B7D3E3B"/>
    <w:rsid w:val="0B8020AE"/>
    <w:rsid w:val="0BA00657"/>
    <w:rsid w:val="0BAE3EB4"/>
    <w:rsid w:val="0BC74117"/>
    <w:rsid w:val="0BCB58F1"/>
    <w:rsid w:val="0BCF4FC3"/>
    <w:rsid w:val="0BE80418"/>
    <w:rsid w:val="0BE8145A"/>
    <w:rsid w:val="0BED6EA5"/>
    <w:rsid w:val="0BF52A54"/>
    <w:rsid w:val="0BFC77DA"/>
    <w:rsid w:val="0BFE7534"/>
    <w:rsid w:val="0C1B5751"/>
    <w:rsid w:val="0C1C16ED"/>
    <w:rsid w:val="0C300595"/>
    <w:rsid w:val="0C315A08"/>
    <w:rsid w:val="0C3770F5"/>
    <w:rsid w:val="0C3B4847"/>
    <w:rsid w:val="0C55338F"/>
    <w:rsid w:val="0C7E6BBF"/>
    <w:rsid w:val="0C9F7471"/>
    <w:rsid w:val="0CB30221"/>
    <w:rsid w:val="0CB33DF8"/>
    <w:rsid w:val="0CD957AA"/>
    <w:rsid w:val="0CE3672B"/>
    <w:rsid w:val="0CE71BA9"/>
    <w:rsid w:val="0CEE1332"/>
    <w:rsid w:val="0D11788B"/>
    <w:rsid w:val="0D1727FB"/>
    <w:rsid w:val="0D190D03"/>
    <w:rsid w:val="0D2D4521"/>
    <w:rsid w:val="0D330150"/>
    <w:rsid w:val="0D3825BE"/>
    <w:rsid w:val="0D652B72"/>
    <w:rsid w:val="0D704C8F"/>
    <w:rsid w:val="0D710F51"/>
    <w:rsid w:val="0D7466F5"/>
    <w:rsid w:val="0D8317C5"/>
    <w:rsid w:val="0D8F5055"/>
    <w:rsid w:val="0DA05989"/>
    <w:rsid w:val="0DBA058B"/>
    <w:rsid w:val="0DF144F2"/>
    <w:rsid w:val="0DF153A1"/>
    <w:rsid w:val="0DF363EA"/>
    <w:rsid w:val="0DF501D1"/>
    <w:rsid w:val="0E02670A"/>
    <w:rsid w:val="0E0D21D0"/>
    <w:rsid w:val="0E0F040B"/>
    <w:rsid w:val="0E19514C"/>
    <w:rsid w:val="0E21445D"/>
    <w:rsid w:val="0E514607"/>
    <w:rsid w:val="0E595800"/>
    <w:rsid w:val="0E5D72AF"/>
    <w:rsid w:val="0E640EEC"/>
    <w:rsid w:val="0E646C4C"/>
    <w:rsid w:val="0E655187"/>
    <w:rsid w:val="0E792BCB"/>
    <w:rsid w:val="0E81441A"/>
    <w:rsid w:val="0E817C0D"/>
    <w:rsid w:val="0EA13C56"/>
    <w:rsid w:val="0EAA7CFD"/>
    <w:rsid w:val="0EAE3E2D"/>
    <w:rsid w:val="0EB318DE"/>
    <w:rsid w:val="0EC23165"/>
    <w:rsid w:val="0EC4122E"/>
    <w:rsid w:val="0ED96555"/>
    <w:rsid w:val="0EDC64AF"/>
    <w:rsid w:val="0F156B37"/>
    <w:rsid w:val="0F3149D0"/>
    <w:rsid w:val="0F3379C5"/>
    <w:rsid w:val="0F446DA2"/>
    <w:rsid w:val="0F7859C0"/>
    <w:rsid w:val="0F7B0F67"/>
    <w:rsid w:val="0F7E3CF6"/>
    <w:rsid w:val="0F8B64A8"/>
    <w:rsid w:val="0F8B6A7D"/>
    <w:rsid w:val="0FA14DC3"/>
    <w:rsid w:val="0FA51830"/>
    <w:rsid w:val="0FBC3F09"/>
    <w:rsid w:val="0FC6018D"/>
    <w:rsid w:val="0FCE732A"/>
    <w:rsid w:val="0FD53CC0"/>
    <w:rsid w:val="0FD702FB"/>
    <w:rsid w:val="0FFC0E88"/>
    <w:rsid w:val="101236D8"/>
    <w:rsid w:val="101A1193"/>
    <w:rsid w:val="10241F33"/>
    <w:rsid w:val="102A4A5B"/>
    <w:rsid w:val="102E4206"/>
    <w:rsid w:val="103447BE"/>
    <w:rsid w:val="10611403"/>
    <w:rsid w:val="107113A6"/>
    <w:rsid w:val="107639F8"/>
    <w:rsid w:val="10797D1C"/>
    <w:rsid w:val="10A512A0"/>
    <w:rsid w:val="10AE0EDE"/>
    <w:rsid w:val="10B0306B"/>
    <w:rsid w:val="10D841BB"/>
    <w:rsid w:val="10DA1C55"/>
    <w:rsid w:val="10E04069"/>
    <w:rsid w:val="10F84FB6"/>
    <w:rsid w:val="10FE148A"/>
    <w:rsid w:val="110932AA"/>
    <w:rsid w:val="110C723D"/>
    <w:rsid w:val="11122F2D"/>
    <w:rsid w:val="11303E23"/>
    <w:rsid w:val="11345BB0"/>
    <w:rsid w:val="114F16D2"/>
    <w:rsid w:val="114F30A9"/>
    <w:rsid w:val="11683084"/>
    <w:rsid w:val="116E210B"/>
    <w:rsid w:val="116F3D7B"/>
    <w:rsid w:val="1182106E"/>
    <w:rsid w:val="11984B39"/>
    <w:rsid w:val="11B53347"/>
    <w:rsid w:val="11BB08CD"/>
    <w:rsid w:val="11BC7F5C"/>
    <w:rsid w:val="11CD595B"/>
    <w:rsid w:val="11CE6176"/>
    <w:rsid w:val="11E46F2F"/>
    <w:rsid w:val="11FE4208"/>
    <w:rsid w:val="11FE4DF6"/>
    <w:rsid w:val="122D0E4A"/>
    <w:rsid w:val="126A4519"/>
    <w:rsid w:val="127C7DA9"/>
    <w:rsid w:val="12AF45B4"/>
    <w:rsid w:val="12B05001"/>
    <w:rsid w:val="12C3624E"/>
    <w:rsid w:val="12C613CA"/>
    <w:rsid w:val="12C67CAA"/>
    <w:rsid w:val="12E26A09"/>
    <w:rsid w:val="12F667CD"/>
    <w:rsid w:val="12FD367F"/>
    <w:rsid w:val="13055E8B"/>
    <w:rsid w:val="131C4BE9"/>
    <w:rsid w:val="131F06D9"/>
    <w:rsid w:val="13251A5C"/>
    <w:rsid w:val="134D0C34"/>
    <w:rsid w:val="134E4423"/>
    <w:rsid w:val="1359437E"/>
    <w:rsid w:val="136179A6"/>
    <w:rsid w:val="1369663C"/>
    <w:rsid w:val="137C5854"/>
    <w:rsid w:val="137E02B6"/>
    <w:rsid w:val="13B645D6"/>
    <w:rsid w:val="13C11F8B"/>
    <w:rsid w:val="13C63EDD"/>
    <w:rsid w:val="13F5754B"/>
    <w:rsid w:val="14133404"/>
    <w:rsid w:val="141662D5"/>
    <w:rsid w:val="14173183"/>
    <w:rsid w:val="14275812"/>
    <w:rsid w:val="143760E2"/>
    <w:rsid w:val="144641F5"/>
    <w:rsid w:val="1447424D"/>
    <w:rsid w:val="14526B1D"/>
    <w:rsid w:val="145E5731"/>
    <w:rsid w:val="148422F7"/>
    <w:rsid w:val="14916F28"/>
    <w:rsid w:val="14921624"/>
    <w:rsid w:val="14AA358A"/>
    <w:rsid w:val="14D577BC"/>
    <w:rsid w:val="14D857BE"/>
    <w:rsid w:val="14DF1E12"/>
    <w:rsid w:val="14F17C95"/>
    <w:rsid w:val="14F21BB5"/>
    <w:rsid w:val="14FA341F"/>
    <w:rsid w:val="15064C7B"/>
    <w:rsid w:val="15125F0F"/>
    <w:rsid w:val="1514212E"/>
    <w:rsid w:val="152E7D4A"/>
    <w:rsid w:val="153932B2"/>
    <w:rsid w:val="154A75DD"/>
    <w:rsid w:val="154C60B5"/>
    <w:rsid w:val="154F724C"/>
    <w:rsid w:val="155E63CC"/>
    <w:rsid w:val="15602D63"/>
    <w:rsid w:val="156F2065"/>
    <w:rsid w:val="15723159"/>
    <w:rsid w:val="158039D1"/>
    <w:rsid w:val="158234C3"/>
    <w:rsid w:val="15B27B58"/>
    <w:rsid w:val="15BD1CB8"/>
    <w:rsid w:val="15C2442B"/>
    <w:rsid w:val="15C70A44"/>
    <w:rsid w:val="15DE16FF"/>
    <w:rsid w:val="15F30912"/>
    <w:rsid w:val="15F47171"/>
    <w:rsid w:val="15F7796F"/>
    <w:rsid w:val="15FF2640"/>
    <w:rsid w:val="15FF5EF9"/>
    <w:rsid w:val="1602232A"/>
    <w:rsid w:val="1607316E"/>
    <w:rsid w:val="160C61AA"/>
    <w:rsid w:val="160C6AAA"/>
    <w:rsid w:val="16136961"/>
    <w:rsid w:val="16281E46"/>
    <w:rsid w:val="1640665E"/>
    <w:rsid w:val="165607D3"/>
    <w:rsid w:val="165E78B2"/>
    <w:rsid w:val="16645125"/>
    <w:rsid w:val="166B1337"/>
    <w:rsid w:val="16824DF7"/>
    <w:rsid w:val="168C4FF2"/>
    <w:rsid w:val="16BE39E9"/>
    <w:rsid w:val="16D5549C"/>
    <w:rsid w:val="16E01545"/>
    <w:rsid w:val="16E11346"/>
    <w:rsid w:val="16F97BDE"/>
    <w:rsid w:val="17054D2B"/>
    <w:rsid w:val="1739698C"/>
    <w:rsid w:val="174A616B"/>
    <w:rsid w:val="1755210E"/>
    <w:rsid w:val="17673DA9"/>
    <w:rsid w:val="177B3BA5"/>
    <w:rsid w:val="1793547F"/>
    <w:rsid w:val="179633BE"/>
    <w:rsid w:val="17A25B84"/>
    <w:rsid w:val="17AA7DD5"/>
    <w:rsid w:val="17AC24B0"/>
    <w:rsid w:val="17C20E1B"/>
    <w:rsid w:val="17CE4992"/>
    <w:rsid w:val="17D80A06"/>
    <w:rsid w:val="17DE446A"/>
    <w:rsid w:val="17F322B2"/>
    <w:rsid w:val="17F742B6"/>
    <w:rsid w:val="17F97A0F"/>
    <w:rsid w:val="180B67D5"/>
    <w:rsid w:val="18136E70"/>
    <w:rsid w:val="181C5228"/>
    <w:rsid w:val="18226EDE"/>
    <w:rsid w:val="18534C5C"/>
    <w:rsid w:val="185433BD"/>
    <w:rsid w:val="18573F79"/>
    <w:rsid w:val="1865608A"/>
    <w:rsid w:val="186F4FB5"/>
    <w:rsid w:val="189D247A"/>
    <w:rsid w:val="189E77FE"/>
    <w:rsid w:val="18AB1068"/>
    <w:rsid w:val="18B8291A"/>
    <w:rsid w:val="18C03451"/>
    <w:rsid w:val="18C343A0"/>
    <w:rsid w:val="18C563DC"/>
    <w:rsid w:val="18EB68CC"/>
    <w:rsid w:val="18FC3A19"/>
    <w:rsid w:val="19101FC3"/>
    <w:rsid w:val="192D164C"/>
    <w:rsid w:val="1950570D"/>
    <w:rsid w:val="19604CBC"/>
    <w:rsid w:val="19B476A3"/>
    <w:rsid w:val="19C41149"/>
    <w:rsid w:val="19C51754"/>
    <w:rsid w:val="19C71E55"/>
    <w:rsid w:val="19DC27FE"/>
    <w:rsid w:val="19E020E7"/>
    <w:rsid w:val="19E607BA"/>
    <w:rsid w:val="19E863DB"/>
    <w:rsid w:val="19EB7243"/>
    <w:rsid w:val="1A032FF5"/>
    <w:rsid w:val="1A100D82"/>
    <w:rsid w:val="1A110726"/>
    <w:rsid w:val="1A19214D"/>
    <w:rsid w:val="1A2C714E"/>
    <w:rsid w:val="1A2F497E"/>
    <w:rsid w:val="1A33400A"/>
    <w:rsid w:val="1A4F7538"/>
    <w:rsid w:val="1A552186"/>
    <w:rsid w:val="1A573A96"/>
    <w:rsid w:val="1A5949AF"/>
    <w:rsid w:val="1A5F0684"/>
    <w:rsid w:val="1A694CA0"/>
    <w:rsid w:val="1A711815"/>
    <w:rsid w:val="1A8650BB"/>
    <w:rsid w:val="1AA7641A"/>
    <w:rsid w:val="1AB75473"/>
    <w:rsid w:val="1ABB6E2A"/>
    <w:rsid w:val="1AC63C1B"/>
    <w:rsid w:val="1ACF690A"/>
    <w:rsid w:val="1ADB6A7B"/>
    <w:rsid w:val="1ADE1C71"/>
    <w:rsid w:val="1ADF7266"/>
    <w:rsid w:val="1AEB451C"/>
    <w:rsid w:val="1B006552"/>
    <w:rsid w:val="1B020921"/>
    <w:rsid w:val="1B037A18"/>
    <w:rsid w:val="1B1511C2"/>
    <w:rsid w:val="1B1E3089"/>
    <w:rsid w:val="1B2A1336"/>
    <w:rsid w:val="1B3B20FA"/>
    <w:rsid w:val="1B3C2D73"/>
    <w:rsid w:val="1B45401A"/>
    <w:rsid w:val="1B63544D"/>
    <w:rsid w:val="1B695370"/>
    <w:rsid w:val="1B7645D2"/>
    <w:rsid w:val="1B7975E3"/>
    <w:rsid w:val="1B7D4C5B"/>
    <w:rsid w:val="1B8A08C2"/>
    <w:rsid w:val="1B9A50B4"/>
    <w:rsid w:val="1BA54D43"/>
    <w:rsid w:val="1BA8258E"/>
    <w:rsid w:val="1BAD4C50"/>
    <w:rsid w:val="1BBA6D0F"/>
    <w:rsid w:val="1BCD45EC"/>
    <w:rsid w:val="1BCF5BAB"/>
    <w:rsid w:val="1BF146DC"/>
    <w:rsid w:val="1C070699"/>
    <w:rsid w:val="1C230F93"/>
    <w:rsid w:val="1C290BD8"/>
    <w:rsid w:val="1C363BF9"/>
    <w:rsid w:val="1C59142B"/>
    <w:rsid w:val="1CA45BB8"/>
    <w:rsid w:val="1CBF176F"/>
    <w:rsid w:val="1CC370F6"/>
    <w:rsid w:val="1CCD4946"/>
    <w:rsid w:val="1CD14AF0"/>
    <w:rsid w:val="1CD9354D"/>
    <w:rsid w:val="1CDA2AE5"/>
    <w:rsid w:val="1CED2A6D"/>
    <w:rsid w:val="1D0474C9"/>
    <w:rsid w:val="1D08287C"/>
    <w:rsid w:val="1D0D368B"/>
    <w:rsid w:val="1D173AB6"/>
    <w:rsid w:val="1D187EBB"/>
    <w:rsid w:val="1D216F09"/>
    <w:rsid w:val="1D37298A"/>
    <w:rsid w:val="1D3F573B"/>
    <w:rsid w:val="1D4849DA"/>
    <w:rsid w:val="1D514946"/>
    <w:rsid w:val="1D57266A"/>
    <w:rsid w:val="1D71367F"/>
    <w:rsid w:val="1D72312A"/>
    <w:rsid w:val="1D7B3C6F"/>
    <w:rsid w:val="1D8173E6"/>
    <w:rsid w:val="1D8B5A63"/>
    <w:rsid w:val="1DA00582"/>
    <w:rsid w:val="1DBE0159"/>
    <w:rsid w:val="1DBF15E9"/>
    <w:rsid w:val="1DC128C3"/>
    <w:rsid w:val="1DCE4D3E"/>
    <w:rsid w:val="1DD639FE"/>
    <w:rsid w:val="1DDC580D"/>
    <w:rsid w:val="1E1D31C7"/>
    <w:rsid w:val="1E1F4942"/>
    <w:rsid w:val="1E252A2D"/>
    <w:rsid w:val="1E2830DF"/>
    <w:rsid w:val="1E37476D"/>
    <w:rsid w:val="1E51513D"/>
    <w:rsid w:val="1E5209CD"/>
    <w:rsid w:val="1EBD4274"/>
    <w:rsid w:val="1ED84D1E"/>
    <w:rsid w:val="1EF83B99"/>
    <w:rsid w:val="1EFB417F"/>
    <w:rsid w:val="1F0D0574"/>
    <w:rsid w:val="1F1F57A2"/>
    <w:rsid w:val="1F502DA6"/>
    <w:rsid w:val="1F556243"/>
    <w:rsid w:val="1F6E0470"/>
    <w:rsid w:val="1F763CCA"/>
    <w:rsid w:val="1F793744"/>
    <w:rsid w:val="1F8D7BA7"/>
    <w:rsid w:val="1F942467"/>
    <w:rsid w:val="1F996E3C"/>
    <w:rsid w:val="1F9B0C3C"/>
    <w:rsid w:val="1F9C39C9"/>
    <w:rsid w:val="1F9E4E4C"/>
    <w:rsid w:val="1FB5655D"/>
    <w:rsid w:val="1FBB56F3"/>
    <w:rsid w:val="1FC03EF2"/>
    <w:rsid w:val="1FC74D1B"/>
    <w:rsid w:val="1FC87651"/>
    <w:rsid w:val="1FD04333"/>
    <w:rsid w:val="1FD06351"/>
    <w:rsid w:val="1FD1232D"/>
    <w:rsid w:val="1FDA47B1"/>
    <w:rsid w:val="1FF61D25"/>
    <w:rsid w:val="1FFD3B6A"/>
    <w:rsid w:val="20040E42"/>
    <w:rsid w:val="20110E84"/>
    <w:rsid w:val="20355B0D"/>
    <w:rsid w:val="20435182"/>
    <w:rsid w:val="204A1EC9"/>
    <w:rsid w:val="204A37E7"/>
    <w:rsid w:val="20555B2E"/>
    <w:rsid w:val="205966D6"/>
    <w:rsid w:val="20806EFA"/>
    <w:rsid w:val="20897BDF"/>
    <w:rsid w:val="208A25A7"/>
    <w:rsid w:val="20A51DE1"/>
    <w:rsid w:val="20A867B6"/>
    <w:rsid w:val="20AE792A"/>
    <w:rsid w:val="20B51C50"/>
    <w:rsid w:val="20B54822"/>
    <w:rsid w:val="20C637AC"/>
    <w:rsid w:val="20DF77BC"/>
    <w:rsid w:val="20E30788"/>
    <w:rsid w:val="21114230"/>
    <w:rsid w:val="21132D72"/>
    <w:rsid w:val="2119668E"/>
    <w:rsid w:val="211A20DA"/>
    <w:rsid w:val="212356BE"/>
    <w:rsid w:val="2134023C"/>
    <w:rsid w:val="214B24AF"/>
    <w:rsid w:val="215215F8"/>
    <w:rsid w:val="21554C66"/>
    <w:rsid w:val="217E18D6"/>
    <w:rsid w:val="217E4C9B"/>
    <w:rsid w:val="21A2200E"/>
    <w:rsid w:val="21A40B7F"/>
    <w:rsid w:val="21A85973"/>
    <w:rsid w:val="21B121C4"/>
    <w:rsid w:val="21C22593"/>
    <w:rsid w:val="21C771CB"/>
    <w:rsid w:val="21EC2218"/>
    <w:rsid w:val="21F15A2C"/>
    <w:rsid w:val="21F95701"/>
    <w:rsid w:val="221A15E4"/>
    <w:rsid w:val="221E5D8B"/>
    <w:rsid w:val="222F6CA1"/>
    <w:rsid w:val="223335C9"/>
    <w:rsid w:val="2269234C"/>
    <w:rsid w:val="22747DDB"/>
    <w:rsid w:val="227849E0"/>
    <w:rsid w:val="22811271"/>
    <w:rsid w:val="22856112"/>
    <w:rsid w:val="228C6AE9"/>
    <w:rsid w:val="22B53180"/>
    <w:rsid w:val="22C01785"/>
    <w:rsid w:val="22D0325A"/>
    <w:rsid w:val="22F44EC0"/>
    <w:rsid w:val="22F9232A"/>
    <w:rsid w:val="230D2136"/>
    <w:rsid w:val="231039EB"/>
    <w:rsid w:val="233E2E62"/>
    <w:rsid w:val="23533E3C"/>
    <w:rsid w:val="23555FBD"/>
    <w:rsid w:val="235614B8"/>
    <w:rsid w:val="237E1085"/>
    <w:rsid w:val="2389578A"/>
    <w:rsid w:val="238E0CC2"/>
    <w:rsid w:val="23A7544E"/>
    <w:rsid w:val="23A83127"/>
    <w:rsid w:val="23B42D0A"/>
    <w:rsid w:val="23BF2648"/>
    <w:rsid w:val="23C96B56"/>
    <w:rsid w:val="23E438DC"/>
    <w:rsid w:val="23F14891"/>
    <w:rsid w:val="24065B2E"/>
    <w:rsid w:val="240A5ACF"/>
    <w:rsid w:val="241D73B4"/>
    <w:rsid w:val="24342583"/>
    <w:rsid w:val="244C529B"/>
    <w:rsid w:val="24567B0C"/>
    <w:rsid w:val="24595EA9"/>
    <w:rsid w:val="245A3EC1"/>
    <w:rsid w:val="24792050"/>
    <w:rsid w:val="247A096E"/>
    <w:rsid w:val="248620EA"/>
    <w:rsid w:val="248B6569"/>
    <w:rsid w:val="249F7CFA"/>
    <w:rsid w:val="24A25054"/>
    <w:rsid w:val="24A5338B"/>
    <w:rsid w:val="24A770BC"/>
    <w:rsid w:val="24B325CB"/>
    <w:rsid w:val="24C373ED"/>
    <w:rsid w:val="24D36A17"/>
    <w:rsid w:val="24E721B1"/>
    <w:rsid w:val="24EC2FF7"/>
    <w:rsid w:val="24FB1D91"/>
    <w:rsid w:val="25143F64"/>
    <w:rsid w:val="25170823"/>
    <w:rsid w:val="254146A7"/>
    <w:rsid w:val="25454899"/>
    <w:rsid w:val="254A6653"/>
    <w:rsid w:val="25555C08"/>
    <w:rsid w:val="255A45A1"/>
    <w:rsid w:val="255B001A"/>
    <w:rsid w:val="25610B65"/>
    <w:rsid w:val="25687BEB"/>
    <w:rsid w:val="257860F1"/>
    <w:rsid w:val="257A5F33"/>
    <w:rsid w:val="25826B54"/>
    <w:rsid w:val="25862AA3"/>
    <w:rsid w:val="258A778D"/>
    <w:rsid w:val="25953DB7"/>
    <w:rsid w:val="25957EEE"/>
    <w:rsid w:val="25A13B8D"/>
    <w:rsid w:val="25AF0139"/>
    <w:rsid w:val="25B0480A"/>
    <w:rsid w:val="25E1598F"/>
    <w:rsid w:val="25E358D7"/>
    <w:rsid w:val="25E844E2"/>
    <w:rsid w:val="25F87333"/>
    <w:rsid w:val="262B344A"/>
    <w:rsid w:val="262F5DAB"/>
    <w:rsid w:val="26331BFE"/>
    <w:rsid w:val="263C2FCA"/>
    <w:rsid w:val="263C7389"/>
    <w:rsid w:val="26436D96"/>
    <w:rsid w:val="26474794"/>
    <w:rsid w:val="26565096"/>
    <w:rsid w:val="26631FA4"/>
    <w:rsid w:val="26787A79"/>
    <w:rsid w:val="267A155C"/>
    <w:rsid w:val="267D3213"/>
    <w:rsid w:val="26916A98"/>
    <w:rsid w:val="269E28A2"/>
    <w:rsid w:val="269F1F56"/>
    <w:rsid w:val="26A614BB"/>
    <w:rsid w:val="26AA60F5"/>
    <w:rsid w:val="26AE512A"/>
    <w:rsid w:val="26AF121F"/>
    <w:rsid w:val="26B1777C"/>
    <w:rsid w:val="26B83A6C"/>
    <w:rsid w:val="26C10960"/>
    <w:rsid w:val="26DB1301"/>
    <w:rsid w:val="26E942DD"/>
    <w:rsid w:val="27001E87"/>
    <w:rsid w:val="270C37A0"/>
    <w:rsid w:val="27131D3E"/>
    <w:rsid w:val="271461F2"/>
    <w:rsid w:val="2724461D"/>
    <w:rsid w:val="27266B33"/>
    <w:rsid w:val="272C5CF9"/>
    <w:rsid w:val="27464424"/>
    <w:rsid w:val="2747668A"/>
    <w:rsid w:val="274806C8"/>
    <w:rsid w:val="2752334F"/>
    <w:rsid w:val="275F6100"/>
    <w:rsid w:val="2764174E"/>
    <w:rsid w:val="27700B35"/>
    <w:rsid w:val="277D1D0C"/>
    <w:rsid w:val="277F7492"/>
    <w:rsid w:val="27803E93"/>
    <w:rsid w:val="2788134B"/>
    <w:rsid w:val="27882C72"/>
    <w:rsid w:val="27961ADC"/>
    <w:rsid w:val="27BD4CCC"/>
    <w:rsid w:val="27CA2611"/>
    <w:rsid w:val="27ED036D"/>
    <w:rsid w:val="27F641BF"/>
    <w:rsid w:val="28003F0B"/>
    <w:rsid w:val="28070001"/>
    <w:rsid w:val="28083688"/>
    <w:rsid w:val="280F2EA6"/>
    <w:rsid w:val="28256A9E"/>
    <w:rsid w:val="28463FD9"/>
    <w:rsid w:val="28594E9F"/>
    <w:rsid w:val="28690E82"/>
    <w:rsid w:val="287C2035"/>
    <w:rsid w:val="288149BF"/>
    <w:rsid w:val="288F1FE6"/>
    <w:rsid w:val="289D6FBC"/>
    <w:rsid w:val="28AB4703"/>
    <w:rsid w:val="28C832D0"/>
    <w:rsid w:val="28CB57FE"/>
    <w:rsid w:val="28CE6166"/>
    <w:rsid w:val="28DE51B7"/>
    <w:rsid w:val="29083B3D"/>
    <w:rsid w:val="290E35DA"/>
    <w:rsid w:val="2913310C"/>
    <w:rsid w:val="29162023"/>
    <w:rsid w:val="29192837"/>
    <w:rsid w:val="29201D7A"/>
    <w:rsid w:val="292B1B70"/>
    <w:rsid w:val="29403C61"/>
    <w:rsid w:val="29606EE6"/>
    <w:rsid w:val="298404B0"/>
    <w:rsid w:val="29936F43"/>
    <w:rsid w:val="299C39AF"/>
    <w:rsid w:val="299F017B"/>
    <w:rsid w:val="29A91F5E"/>
    <w:rsid w:val="29AC6880"/>
    <w:rsid w:val="29BB6D3C"/>
    <w:rsid w:val="29C8558F"/>
    <w:rsid w:val="29D32F20"/>
    <w:rsid w:val="29DB3C33"/>
    <w:rsid w:val="29E47A49"/>
    <w:rsid w:val="29FD46B6"/>
    <w:rsid w:val="2A083949"/>
    <w:rsid w:val="2A201DDE"/>
    <w:rsid w:val="2A24268B"/>
    <w:rsid w:val="2A335710"/>
    <w:rsid w:val="2A4855D7"/>
    <w:rsid w:val="2A4A6B0C"/>
    <w:rsid w:val="2A592D0F"/>
    <w:rsid w:val="2A670DFB"/>
    <w:rsid w:val="2A79374A"/>
    <w:rsid w:val="2A7975BE"/>
    <w:rsid w:val="2A7B6947"/>
    <w:rsid w:val="2A7C6744"/>
    <w:rsid w:val="2A7E0511"/>
    <w:rsid w:val="2A871C11"/>
    <w:rsid w:val="2A8D0B0F"/>
    <w:rsid w:val="2A914420"/>
    <w:rsid w:val="2AB5028A"/>
    <w:rsid w:val="2AC728D2"/>
    <w:rsid w:val="2AD57EC8"/>
    <w:rsid w:val="2AD8573B"/>
    <w:rsid w:val="2AFC1B6B"/>
    <w:rsid w:val="2B0244E2"/>
    <w:rsid w:val="2B0F2555"/>
    <w:rsid w:val="2B1544E5"/>
    <w:rsid w:val="2B334D0B"/>
    <w:rsid w:val="2B37404A"/>
    <w:rsid w:val="2B3C5F48"/>
    <w:rsid w:val="2B413DAC"/>
    <w:rsid w:val="2B5059C7"/>
    <w:rsid w:val="2B64193C"/>
    <w:rsid w:val="2B7007CF"/>
    <w:rsid w:val="2B722796"/>
    <w:rsid w:val="2B757DBF"/>
    <w:rsid w:val="2B8442FF"/>
    <w:rsid w:val="2B8B0C0F"/>
    <w:rsid w:val="2B8D6BD0"/>
    <w:rsid w:val="2BA50466"/>
    <w:rsid w:val="2BB1570D"/>
    <w:rsid w:val="2BB34299"/>
    <w:rsid w:val="2BC2605F"/>
    <w:rsid w:val="2BC405A2"/>
    <w:rsid w:val="2BCC3285"/>
    <w:rsid w:val="2BD036BC"/>
    <w:rsid w:val="2BD154E9"/>
    <w:rsid w:val="2BD436ED"/>
    <w:rsid w:val="2BE01C6B"/>
    <w:rsid w:val="2BE83025"/>
    <w:rsid w:val="2BFA02AD"/>
    <w:rsid w:val="2C1153F3"/>
    <w:rsid w:val="2C1340C8"/>
    <w:rsid w:val="2C1349B3"/>
    <w:rsid w:val="2C1F54A6"/>
    <w:rsid w:val="2C372AEA"/>
    <w:rsid w:val="2C8E0DDA"/>
    <w:rsid w:val="2C9C2D10"/>
    <w:rsid w:val="2C9C4200"/>
    <w:rsid w:val="2CA16209"/>
    <w:rsid w:val="2CA35C5C"/>
    <w:rsid w:val="2CB11B6B"/>
    <w:rsid w:val="2CB8113B"/>
    <w:rsid w:val="2CCB7A09"/>
    <w:rsid w:val="2CCC3B45"/>
    <w:rsid w:val="2CEF481A"/>
    <w:rsid w:val="2CF21A3B"/>
    <w:rsid w:val="2CFA74B7"/>
    <w:rsid w:val="2D034B8C"/>
    <w:rsid w:val="2D127330"/>
    <w:rsid w:val="2D1922BF"/>
    <w:rsid w:val="2D1E6FAE"/>
    <w:rsid w:val="2D241683"/>
    <w:rsid w:val="2D262D25"/>
    <w:rsid w:val="2D265A20"/>
    <w:rsid w:val="2D331087"/>
    <w:rsid w:val="2D3B6728"/>
    <w:rsid w:val="2D405182"/>
    <w:rsid w:val="2D406663"/>
    <w:rsid w:val="2D420024"/>
    <w:rsid w:val="2D4D72C4"/>
    <w:rsid w:val="2D5C2E0D"/>
    <w:rsid w:val="2D87256F"/>
    <w:rsid w:val="2DA31C74"/>
    <w:rsid w:val="2DBD4788"/>
    <w:rsid w:val="2DBE4293"/>
    <w:rsid w:val="2DC50A44"/>
    <w:rsid w:val="2DCE6661"/>
    <w:rsid w:val="2DDB46FB"/>
    <w:rsid w:val="2DE46A81"/>
    <w:rsid w:val="2DEE6370"/>
    <w:rsid w:val="2DFF0FC0"/>
    <w:rsid w:val="2E122A84"/>
    <w:rsid w:val="2E1C51B6"/>
    <w:rsid w:val="2E2D0256"/>
    <w:rsid w:val="2E4740F4"/>
    <w:rsid w:val="2E5159B7"/>
    <w:rsid w:val="2E5549C7"/>
    <w:rsid w:val="2E590462"/>
    <w:rsid w:val="2E607DF7"/>
    <w:rsid w:val="2E6A1366"/>
    <w:rsid w:val="2E99111E"/>
    <w:rsid w:val="2EA15D27"/>
    <w:rsid w:val="2EA8247E"/>
    <w:rsid w:val="2EBE0CB7"/>
    <w:rsid w:val="2EC26969"/>
    <w:rsid w:val="2EC96825"/>
    <w:rsid w:val="2ECB2949"/>
    <w:rsid w:val="2ECE63F8"/>
    <w:rsid w:val="2F37094A"/>
    <w:rsid w:val="2F3B64FF"/>
    <w:rsid w:val="2F477462"/>
    <w:rsid w:val="2F4C40A5"/>
    <w:rsid w:val="2F563EC0"/>
    <w:rsid w:val="2F5762B0"/>
    <w:rsid w:val="2F591613"/>
    <w:rsid w:val="2F5B42DA"/>
    <w:rsid w:val="2F5E5488"/>
    <w:rsid w:val="2F764A55"/>
    <w:rsid w:val="2F7A32AC"/>
    <w:rsid w:val="2F9453AA"/>
    <w:rsid w:val="2F990185"/>
    <w:rsid w:val="2F9960ED"/>
    <w:rsid w:val="2F9A068B"/>
    <w:rsid w:val="2F9D74DB"/>
    <w:rsid w:val="2FA1782B"/>
    <w:rsid w:val="2FAE723E"/>
    <w:rsid w:val="2FB3377D"/>
    <w:rsid w:val="2FDF74CA"/>
    <w:rsid w:val="2FE75080"/>
    <w:rsid w:val="2FEE1CDB"/>
    <w:rsid w:val="30201DEC"/>
    <w:rsid w:val="30741A2E"/>
    <w:rsid w:val="307E7076"/>
    <w:rsid w:val="307F5651"/>
    <w:rsid w:val="30871F9B"/>
    <w:rsid w:val="308A276F"/>
    <w:rsid w:val="308B2303"/>
    <w:rsid w:val="309762F2"/>
    <w:rsid w:val="309C1C91"/>
    <w:rsid w:val="30A22C4B"/>
    <w:rsid w:val="30A7467B"/>
    <w:rsid w:val="30AE2B58"/>
    <w:rsid w:val="30C21A50"/>
    <w:rsid w:val="30C536F8"/>
    <w:rsid w:val="30D3442A"/>
    <w:rsid w:val="30E77847"/>
    <w:rsid w:val="30FD42E7"/>
    <w:rsid w:val="31063524"/>
    <w:rsid w:val="31111818"/>
    <w:rsid w:val="3112228B"/>
    <w:rsid w:val="31231D3C"/>
    <w:rsid w:val="312A405D"/>
    <w:rsid w:val="313C3448"/>
    <w:rsid w:val="31455A5C"/>
    <w:rsid w:val="31542A30"/>
    <w:rsid w:val="3161328B"/>
    <w:rsid w:val="317B7969"/>
    <w:rsid w:val="318F7AB2"/>
    <w:rsid w:val="31AB5EC3"/>
    <w:rsid w:val="31B7469D"/>
    <w:rsid w:val="31BB49B7"/>
    <w:rsid w:val="31BB79ED"/>
    <w:rsid w:val="31C20B2E"/>
    <w:rsid w:val="31C22C6F"/>
    <w:rsid w:val="31C6519A"/>
    <w:rsid w:val="31D26D13"/>
    <w:rsid w:val="31DA083D"/>
    <w:rsid w:val="31F02C1F"/>
    <w:rsid w:val="31F74844"/>
    <w:rsid w:val="31FA6967"/>
    <w:rsid w:val="320C2F59"/>
    <w:rsid w:val="320F6237"/>
    <w:rsid w:val="32103AB7"/>
    <w:rsid w:val="321F0EFF"/>
    <w:rsid w:val="3229136A"/>
    <w:rsid w:val="32390A31"/>
    <w:rsid w:val="32422E31"/>
    <w:rsid w:val="325C521B"/>
    <w:rsid w:val="32622260"/>
    <w:rsid w:val="326C5E75"/>
    <w:rsid w:val="32766ADC"/>
    <w:rsid w:val="32825267"/>
    <w:rsid w:val="328D340B"/>
    <w:rsid w:val="32A27B77"/>
    <w:rsid w:val="32B53E59"/>
    <w:rsid w:val="32BA6E40"/>
    <w:rsid w:val="32D101D4"/>
    <w:rsid w:val="32E47E1B"/>
    <w:rsid w:val="32EA52BF"/>
    <w:rsid w:val="32F32C04"/>
    <w:rsid w:val="32F33A30"/>
    <w:rsid w:val="32F744EE"/>
    <w:rsid w:val="32F940BC"/>
    <w:rsid w:val="32FF6751"/>
    <w:rsid w:val="33024DB1"/>
    <w:rsid w:val="330F4304"/>
    <w:rsid w:val="33114DDB"/>
    <w:rsid w:val="33117375"/>
    <w:rsid w:val="331A0B19"/>
    <w:rsid w:val="331A3857"/>
    <w:rsid w:val="33236624"/>
    <w:rsid w:val="332E240F"/>
    <w:rsid w:val="332E3412"/>
    <w:rsid w:val="332F09CC"/>
    <w:rsid w:val="33346A83"/>
    <w:rsid w:val="334C5B8E"/>
    <w:rsid w:val="335845F2"/>
    <w:rsid w:val="335F6666"/>
    <w:rsid w:val="336E664F"/>
    <w:rsid w:val="337148D9"/>
    <w:rsid w:val="33752B01"/>
    <w:rsid w:val="337D3848"/>
    <w:rsid w:val="33A852D5"/>
    <w:rsid w:val="33C25D73"/>
    <w:rsid w:val="33C44CA1"/>
    <w:rsid w:val="33C51B6D"/>
    <w:rsid w:val="33D63411"/>
    <w:rsid w:val="33D864B6"/>
    <w:rsid w:val="33DD2C3C"/>
    <w:rsid w:val="33DF7B09"/>
    <w:rsid w:val="33E57E53"/>
    <w:rsid w:val="34037A3B"/>
    <w:rsid w:val="34193BE5"/>
    <w:rsid w:val="341C1D6F"/>
    <w:rsid w:val="342457C2"/>
    <w:rsid w:val="342910C4"/>
    <w:rsid w:val="34386A2F"/>
    <w:rsid w:val="344A06F0"/>
    <w:rsid w:val="34603AFF"/>
    <w:rsid w:val="34776D68"/>
    <w:rsid w:val="34972C19"/>
    <w:rsid w:val="34AE2BE2"/>
    <w:rsid w:val="34B60F57"/>
    <w:rsid w:val="34BE41EC"/>
    <w:rsid w:val="34DA5A70"/>
    <w:rsid w:val="34DF36C3"/>
    <w:rsid w:val="35080E61"/>
    <w:rsid w:val="351D229D"/>
    <w:rsid w:val="35233233"/>
    <w:rsid w:val="35236787"/>
    <w:rsid w:val="353402AB"/>
    <w:rsid w:val="354A23A5"/>
    <w:rsid w:val="357122EA"/>
    <w:rsid w:val="35722631"/>
    <w:rsid w:val="35890A9E"/>
    <w:rsid w:val="35894B8F"/>
    <w:rsid w:val="358A2517"/>
    <w:rsid w:val="359377CF"/>
    <w:rsid w:val="359A1C70"/>
    <w:rsid w:val="35A66E1F"/>
    <w:rsid w:val="35AD09C3"/>
    <w:rsid w:val="35B54D0A"/>
    <w:rsid w:val="35BF3F4C"/>
    <w:rsid w:val="35F67BCB"/>
    <w:rsid w:val="35F76562"/>
    <w:rsid w:val="35FF7757"/>
    <w:rsid w:val="36126473"/>
    <w:rsid w:val="362013CC"/>
    <w:rsid w:val="36397704"/>
    <w:rsid w:val="36577678"/>
    <w:rsid w:val="36663241"/>
    <w:rsid w:val="36676BC9"/>
    <w:rsid w:val="36676F03"/>
    <w:rsid w:val="366B6D5D"/>
    <w:rsid w:val="366F792B"/>
    <w:rsid w:val="367D7A13"/>
    <w:rsid w:val="36812403"/>
    <w:rsid w:val="368A5895"/>
    <w:rsid w:val="368D1CFF"/>
    <w:rsid w:val="369826E4"/>
    <w:rsid w:val="36B57494"/>
    <w:rsid w:val="36BB69D9"/>
    <w:rsid w:val="36C65164"/>
    <w:rsid w:val="36CA0AA6"/>
    <w:rsid w:val="36CA535B"/>
    <w:rsid w:val="36D87A77"/>
    <w:rsid w:val="36DF27FB"/>
    <w:rsid w:val="36E921A1"/>
    <w:rsid w:val="36FC579D"/>
    <w:rsid w:val="370A1D54"/>
    <w:rsid w:val="37311211"/>
    <w:rsid w:val="37385903"/>
    <w:rsid w:val="374817AC"/>
    <w:rsid w:val="37B525D6"/>
    <w:rsid w:val="37BE78F7"/>
    <w:rsid w:val="37BF798B"/>
    <w:rsid w:val="37C23F8F"/>
    <w:rsid w:val="37C80B6E"/>
    <w:rsid w:val="37D4449F"/>
    <w:rsid w:val="37D9256B"/>
    <w:rsid w:val="37ED2FAB"/>
    <w:rsid w:val="380462C5"/>
    <w:rsid w:val="380C2567"/>
    <w:rsid w:val="38111B40"/>
    <w:rsid w:val="38161547"/>
    <w:rsid w:val="381B2717"/>
    <w:rsid w:val="38201FEF"/>
    <w:rsid w:val="38356875"/>
    <w:rsid w:val="383655F2"/>
    <w:rsid w:val="3843776D"/>
    <w:rsid w:val="38443B46"/>
    <w:rsid w:val="384A0106"/>
    <w:rsid w:val="384A3492"/>
    <w:rsid w:val="384C6518"/>
    <w:rsid w:val="384D15CA"/>
    <w:rsid w:val="389D6C69"/>
    <w:rsid w:val="389E2802"/>
    <w:rsid w:val="38AE4D5A"/>
    <w:rsid w:val="38D35429"/>
    <w:rsid w:val="38DF7FF9"/>
    <w:rsid w:val="38EC5D63"/>
    <w:rsid w:val="38EC7B5D"/>
    <w:rsid w:val="38F55D42"/>
    <w:rsid w:val="38FF4B09"/>
    <w:rsid w:val="39216C0F"/>
    <w:rsid w:val="392C79BA"/>
    <w:rsid w:val="393F4A55"/>
    <w:rsid w:val="39575392"/>
    <w:rsid w:val="395B53C1"/>
    <w:rsid w:val="395C43F2"/>
    <w:rsid w:val="3965228B"/>
    <w:rsid w:val="39670ED0"/>
    <w:rsid w:val="397500E2"/>
    <w:rsid w:val="397833EE"/>
    <w:rsid w:val="39865EA3"/>
    <w:rsid w:val="399552F9"/>
    <w:rsid w:val="399B54F4"/>
    <w:rsid w:val="399C19F7"/>
    <w:rsid w:val="39B925E1"/>
    <w:rsid w:val="39D218BE"/>
    <w:rsid w:val="39FF6A0D"/>
    <w:rsid w:val="3A080C7E"/>
    <w:rsid w:val="3A0C3E1D"/>
    <w:rsid w:val="3A0C5A34"/>
    <w:rsid w:val="3A1C7755"/>
    <w:rsid w:val="3A305785"/>
    <w:rsid w:val="3A32158C"/>
    <w:rsid w:val="3A444107"/>
    <w:rsid w:val="3A484B88"/>
    <w:rsid w:val="3A5A7033"/>
    <w:rsid w:val="3A5E7969"/>
    <w:rsid w:val="3A643A28"/>
    <w:rsid w:val="3A690E0C"/>
    <w:rsid w:val="3A6C703C"/>
    <w:rsid w:val="3A752CCA"/>
    <w:rsid w:val="3A765C48"/>
    <w:rsid w:val="3A7B345F"/>
    <w:rsid w:val="3A866BC6"/>
    <w:rsid w:val="3A911FB9"/>
    <w:rsid w:val="3A9B7985"/>
    <w:rsid w:val="3AAD5DFF"/>
    <w:rsid w:val="3ACA2D53"/>
    <w:rsid w:val="3AEA6F2D"/>
    <w:rsid w:val="3AF43F8E"/>
    <w:rsid w:val="3B0309CB"/>
    <w:rsid w:val="3B0C7433"/>
    <w:rsid w:val="3B292BD7"/>
    <w:rsid w:val="3B312F5D"/>
    <w:rsid w:val="3B3C3874"/>
    <w:rsid w:val="3B592662"/>
    <w:rsid w:val="3B5D6AB6"/>
    <w:rsid w:val="3B6218ED"/>
    <w:rsid w:val="3B713C84"/>
    <w:rsid w:val="3BAD4688"/>
    <w:rsid w:val="3BAF3F1B"/>
    <w:rsid w:val="3BB405C4"/>
    <w:rsid w:val="3BB40E17"/>
    <w:rsid w:val="3BC8416D"/>
    <w:rsid w:val="3BCC3AD2"/>
    <w:rsid w:val="3BD615F4"/>
    <w:rsid w:val="3BD715EE"/>
    <w:rsid w:val="3BDF7C0B"/>
    <w:rsid w:val="3C024E41"/>
    <w:rsid w:val="3C1B318D"/>
    <w:rsid w:val="3C1E66A9"/>
    <w:rsid w:val="3C244BC9"/>
    <w:rsid w:val="3C284D04"/>
    <w:rsid w:val="3C4B3834"/>
    <w:rsid w:val="3C5925FB"/>
    <w:rsid w:val="3C693459"/>
    <w:rsid w:val="3C913A37"/>
    <w:rsid w:val="3C9A390C"/>
    <w:rsid w:val="3C9C7159"/>
    <w:rsid w:val="3C9F3ED4"/>
    <w:rsid w:val="3CA903D3"/>
    <w:rsid w:val="3CAB1870"/>
    <w:rsid w:val="3CB90F2D"/>
    <w:rsid w:val="3CBB086D"/>
    <w:rsid w:val="3CC84876"/>
    <w:rsid w:val="3CE578FF"/>
    <w:rsid w:val="3CEC0192"/>
    <w:rsid w:val="3CEF5EC6"/>
    <w:rsid w:val="3CFA6C45"/>
    <w:rsid w:val="3D025E99"/>
    <w:rsid w:val="3D2E3AFF"/>
    <w:rsid w:val="3D65299D"/>
    <w:rsid w:val="3D7002C2"/>
    <w:rsid w:val="3D705445"/>
    <w:rsid w:val="3D80753F"/>
    <w:rsid w:val="3D91524E"/>
    <w:rsid w:val="3DAC2E59"/>
    <w:rsid w:val="3DB06A15"/>
    <w:rsid w:val="3DB27AFD"/>
    <w:rsid w:val="3DB644A1"/>
    <w:rsid w:val="3DD249E0"/>
    <w:rsid w:val="3DD436DE"/>
    <w:rsid w:val="3DE57922"/>
    <w:rsid w:val="3DEA5222"/>
    <w:rsid w:val="3E1E3713"/>
    <w:rsid w:val="3E2454EA"/>
    <w:rsid w:val="3E403169"/>
    <w:rsid w:val="3E57271F"/>
    <w:rsid w:val="3E8D6290"/>
    <w:rsid w:val="3EB645B3"/>
    <w:rsid w:val="3ED46D63"/>
    <w:rsid w:val="3EE823FD"/>
    <w:rsid w:val="3EEE4C2B"/>
    <w:rsid w:val="3EF64E4D"/>
    <w:rsid w:val="3F1216C6"/>
    <w:rsid w:val="3F290825"/>
    <w:rsid w:val="3F2B16DE"/>
    <w:rsid w:val="3F31483F"/>
    <w:rsid w:val="3F336778"/>
    <w:rsid w:val="3F365051"/>
    <w:rsid w:val="3F395583"/>
    <w:rsid w:val="3F40798A"/>
    <w:rsid w:val="3F470D43"/>
    <w:rsid w:val="3F4967BC"/>
    <w:rsid w:val="3F5377BC"/>
    <w:rsid w:val="3F553D74"/>
    <w:rsid w:val="3F6A0D82"/>
    <w:rsid w:val="3F6A2D29"/>
    <w:rsid w:val="3F7A7535"/>
    <w:rsid w:val="3F8064D7"/>
    <w:rsid w:val="3F8A6D38"/>
    <w:rsid w:val="3F967246"/>
    <w:rsid w:val="3FAA799C"/>
    <w:rsid w:val="3FAB221E"/>
    <w:rsid w:val="3FBF0AD3"/>
    <w:rsid w:val="3FCC7782"/>
    <w:rsid w:val="3FCE76B0"/>
    <w:rsid w:val="3FDF5186"/>
    <w:rsid w:val="3FE63642"/>
    <w:rsid w:val="400966B5"/>
    <w:rsid w:val="400D155F"/>
    <w:rsid w:val="401E3DB1"/>
    <w:rsid w:val="4023639E"/>
    <w:rsid w:val="4034337D"/>
    <w:rsid w:val="405B41A1"/>
    <w:rsid w:val="407420FB"/>
    <w:rsid w:val="407C24CF"/>
    <w:rsid w:val="40806D30"/>
    <w:rsid w:val="4085076A"/>
    <w:rsid w:val="40862F22"/>
    <w:rsid w:val="40AB60D9"/>
    <w:rsid w:val="40AF30BC"/>
    <w:rsid w:val="40DA5127"/>
    <w:rsid w:val="40E64E9A"/>
    <w:rsid w:val="41130281"/>
    <w:rsid w:val="41334B86"/>
    <w:rsid w:val="41351C68"/>
    <w:rsid w:val="413D3EC4"/>
    <w:rsid w:val="41414E62"/>
    <w:rsid w:val="414B1BB7"/>
    <w:rsid w:val="416F754E"/>
    <w:rsid w:val="41780330"/>
    <w:rsid w:val="41843CC0"/>
    <w:rsid w:val="41904E91"/>
    <w:rsid w:val="41956A0C"/>
    <w:rsid w:val="41AE7837"/>
    <w:rsid w:val="41B519BD"/>
    <w:rsid w:val="41BA67B5"/>
    <w:rsid w:val="41BA7E70"/>
    <w:rsid w:val="41BB23FB"/>
    <w:rsid w:val="41D20325"/>
    <w:rsid w:val="41DB2819"/>
    <w:rsid w:val="41EE0D4F"/>
    <w:rsid w:val="41FC4161"/>
    <w:rsid w:val="42052D95"/>
    <w:rsid w:val="42055045"/>
    <w:rsid w:val="420B1123"/>
    <w:rsid w:val="420B4F14"/>
    <w:rsid w:val="42250FC4"/>
    <w:rsid w:val="4237088B"/>
    <w:rsid w:val="4254209D"/>
    <w:rsid w:val="42634F08"/>
    <w:rsid w:val="428A429C"/>
    <w:rsid w:val="428B6885"/>
    <w:rsid w:val="42906A44"/>
    <w:rsid w:val="42A415DE"/>
    <w:rsid w:val="42D305CE"/>
    <w:rsid w:val="42E36C5D"/>
    <w:rsid w:val="42E52701"/>
    <w:rsid w:val="42ED03DB"/>
    <w:rsid w:val="42F66C22"/>
    <w:rsid w:val="43053AE6"/>
    <w:rsid w:val="43085A3B"/>
    <w:rsid w:val="433472F9"/>
    <w:rsid w:val="433E3343"/>
    <w:rsid w:val="434E3B6E"/>
    <w:rsid w:val="4373747F"/>
    <w:rsid w:val="438D7468"/>
    <w:rsid w:val="438F1D9B"/>
    <w:rsid w:val="438F44B4"/>
    <w:rsid w:val="439067D5"/>
    <w:rsid w:val="439411F8"/>
    <w:rsid w:val="43977D17"/>
    <w:rsid w:val="43AF5841"/>
    <w:rsid w:val="43B038A3"/>
    <w:rsid w:val="43BF2D22"/>
    <w:rsid w:val="43DD6205"/>
    <w:rsid w:val="43F07D1E"/>
    <w:rsid w:val="440E279E"/>
    <w:rsid w:val="440F49DD"/>
    <w:rsid w:val="44106909"/>
    <w:rsid w:val="442E7966"/>
    <w:rsid w:val="4434221F"/>
    <w:rsid w:val="443A492F"/>
    <w:rsid w:val="444177EC"/>
    <w:rsid w:val="44417F14"/>
    <w:rsid w:val="444F28C7"/>
    <w:rsid w:val="44511B1B"/>
    <w:rsid w:val="4456483A"/>
    <w:rsid w:val="44611A8F"/>
    <w:rsid w:val="447C75A6"/>
    <w:rsid w:val="44A0270A"/>
    <w:rsid w:val="44AB3C41"/>
    <w:rsid w:val="44AB51EB"/>
    <w:rsid w:val="44F25967"/>
    <w:rsid w:val="44F40442"/>
    <w:rsid w:val="451C0059"/>
    <w:rsid w:val="452F49E2"/>
    <w:rsid w:val="45311463"/>
    <w:rsid w:val="45501DAF"/>
    <w:rsid w:val="456448D4"/>
    <w:rsid w:val="457174CF"/>
    <w:rsid w:val="458C7895"/>
    <w:rsid w:val="459557C4"/>
    <w:rsid w:val="45AA4AD2"/>
    <w:rsid w:val="45AE4BB8"/>
    <w:rsid w:val="45B80E28"/>
    <w:rsid w:val="45BC0EBC"/>
    <w:rsid w:val="45D1456B"/>
    <w:rsid w:val="45D53ED0"/>
    <w:rsid w:val="45EB5820"/>
    <w:rsid w:val="45FF1C64"/>
    <w:rsid w:val="46164CEE"/>
    <w:rsid w:val="464F3C74"/>
    <w:rsid w:val="46601F98"/>
    <w:rsid w:val="466744A5"/>
    <w:rsid w:val="466852D6"/>
    <w:rsid w:val="466D3342"/>
    <w:rsid w:val="467A3B2C"/>
    <w:rsid w:val="46867C5A"/>
    <w:rsid w:val="4691548C"/>
    <w:rsid w:val="46951F49"/>
    <w:rsid w:val="469F4E35"/>
    <w:rsid w:val="46AA26BD"/>
    <w:rsid w:val="46AA7451"/>
    <w:rsid w:val="46C4380F"/>
    <w:rsid w:val="46C84C9D"/>
    <w:rsid w:val="46CD18CA"/>
    <w:rsid w:val="46D35C01"/>
    <w:rsid w:val="46EA2657"/>
    <w:rsid w:val="46F741B4"/>
    <w:rsid w:val="46F8593B"/>
    <w:rsid w:val="47064012"/>
    <w:rsid w:val="4721661C"/>
    <w:rsid w:val="472B7DBA"/>
    <w:rsid w:val="473460BA"/>
    <w:rsid w:val="47493D73"/>
    <w:rsid w:val="47647B18"/>
    <w:rsid w:val="4771744E"/>
    <w:rsid w:val="4773626F"/>
    <w:rsid w:val="479009E9"/>
    <w:rsid w:val="47AB41C6"/>
    <w:rsid w:val="47AB5858"/>
    <w:rsid w:val="47C65AE0"/>
    <w:rsid w:val="47DC518A"/>
    <w:rsid w:val="47DD6023"/>
    <w:rsid w:val="47F461D0"/>
    <w:rsid w:val="48021D20"/>
    <w:rsid w:val="480B3AA1"/>
    <w:rsid w:val="48100516"/>
    <w:rsid w:val="481E0F96"/>
    <w:rsid w:val="482B10B3"/>
    <w:rsid w:val="482E665C"/>
    <w:rsid w:val="483A4A2F"/>
    <w:rsid w:val="48402A6B"/>
    <w:rsid w:val="484D7AE6"/>
    <w:rsid w:val="48526BD2"/>
    <w:rsid w:val="485C540E"/>
    <w:rsid w:val="48641A25"/>
    <w:rsid w:val="486A6174"/>
    <w:rsid w:val="487A5CE4"/>
    <w:rsid w:val="489E3DFA"/>
    <w:rsid w:val="489F1A32"/>
    <w:rsid w:val="48B55EF2"/>
    <w:rsid w:val="48BC5246"/>
    <w:rsid w:val="48CE085D"/>
    <w:rsid w:val="49063272"/>
    <w:rsid w:val="49154DEA"/>
    <w:rsid w:val="491F69AB"/>
    <w:rsid w:val="493B495E"/>
    <w:rsid w:val="49567AA8"/>
    <w:rsid w:val="496E375F"/>
    <w:rsid w:val="497C0831"/>
    <w:rsid w:val="49857FAC"/>
    <w:rsid w:val="49A144A1"/>
    <w:rsid w:val="49A64729"/>
    <w:rsid w:val="49AA1350"/>
    <w:rsid w:val="49CB6D8C"/>
    <w:rsid w:val="49CE72FB"/>
    <w:rsid w:val="49D527C7"/>
    <w:rsid w:val="49DA2085"/>
    <w:rsid w:val="49F309FE"/>
    <w:rsid w:val="4A0F6384"/>
    <w:rsid w:val="4A132E77"/>
    <w:rsid w:val="4A1A43D6"/>
    <w:rsid w:val="4A2B52DC"/>
    <w:rsid w:val="4A340A7F"/>
    <w:rsid w:val="4A41015F"/>
    <w:rsid w:val="4A420254"/>
    <w:rsid w:val="4A467ED5"/>
    <w:rsid w:val="4A4B19C0"/>
    <w:rsid w:val="4A5A0BC1"/>
    <w:rsid w:val="4A67536A"/>
    <w:rsid w:val="4A824ECC"/>
    <w:rsid w:val="4AAA5D79"/>
    <w:rsid w:val="4AB31F70"/>
    <w:rsid w:val="4AB479AD"/>
    <w:rsid w:val="4ABA1183"/>
    <w:rsid w:val="4AE84C04"/>
    <w:rsid w:val="4AF41EC3"/>
    <w:rsid w:val="4B06675B"/>
    <w:rsid w:val="4B071EA7"/>
    <w:rsid w:val="4B0A7792"/>
    <w:rsid w:val="4B102858"/>
    <w:rsid w:val="4B3913E0"/>
    <w:rsid w:val="4B405EF3"/>
    <w:rsid w:val="4B43378F"/>
    <w:rsid w:val="4B691FB4"/>
    <w:rsid w:val="4B78376A"/>
    <w:rsid w:val="4B97645B"/>
    <w:rsid w:val="4BAA7821"/>
    <w:rsid w:val="4BB74E73"/>
    <w:rsid w:val="4BBF43B2"/>
    <w:rsid w:val="4BD019F4"/>
    <w:rsid w:val="4BDC4123"/>
    <w:rsid w:val="4BDE3B04"/>
    <w:rsid w:val="4BEC0201"/>
    <w:rsid w:val="4C0B5075"/>
    <w:rsid w:val="4C162D58"/>
    <w:rsid w:val="4C212A42"/>
    <w:rsid w:val="4C253897"/>
    <w:rsid w:val="4C28266E"/>
    <w:rsid w:val="4C582A94"/>
    <w:rsid w:val="4C8513D2"/>
    <w:rsid w:val="4C895C86"/>
    <w:rsid w:val="4C9038A8"/>
    <w:rsid w:val="4CAA5B9A"/>
    <w:rsid w:val="4CD914BA"/>
    <w:rsid w:val="4CE341F4"/>
    <w:rsid w:val="4CE4342E"/>
    <w:rsid w:val="4CE46BC2"/>
    <w:rsid w:val="4D24678E"/>
    <w:rsid w:val="4D4312A1"/>
    <w:rsid w:val="4D511A34"/>
    <w:rsid w:val="4D5E0EFA"/>
    <w:rsid w:val="4D76024F"/>
    <w:rsid w:val="4D841AA7"/>
    <w:rsid w:val="4D865ACB"/>
    <w:rsid w:val="4D904C4F"/>
    <w:rsid w:val="4D9971E4"/>
    <w:rsid w:val="4DA74020"/>
    <w:rsid w:val="4DA9231B"/>
    <w:rsid w:val="4DC64010"/>
    <w:rsid w:val="4DCD20DB"/>
    <w:rsid w:val="4DEC5AE6"/>
    <w:rsid w:val="4DF92CEE"/>
    <w:rsid w:val="4DFC251F"/>
    <w:rsid w:val="4E1207D2"/>
    <w:rsid w:val="4E243364"/>
    <w:rsid w:val="4E311692"/>
    <w:rsid w:val="4E3343DD"/>
    <w:rsid w:val="4E5A1AAC"/>
    <w:rsid w:val="4E796826"/>
    <w:rsid w:val="4EA23511"/>
    <w:rsid w:val="4EA60DCF"/>
    <w:rsid w:val="4EB536C3"/>
    <w:rsid w:val="4EC07358"/>
    <w:rsid w:val="4ED14E80"/>
    <w:rsid w:val="4EDB24EC"/>
    <w:rsid w:val="4EE475CD"/>
    <w:rsid w:val="4EF6134A"/>
    <w:rsid w:val="4F396529"/>
    <w:rsid w:val="4F3D39E3"/>
    <w:rsid w:val="4F3E53FB"/>
    <w:rsid w:val="4F3F58B4"/>
    <w:rsid w:val="4F553197"/>
    <w:rsid w:val="4F577DFB"/>
    <w:rsid w:val="4F9B1494"/>
    <w:rsid w:val="4F9C5BE3"/>
    <w:rsid w:val="4FA77A5C"/>
    <w:rsid w:val="4FA97ADE"/>
    <w:rsid w:val="4FB64A96"/>
    <w:rsid w:val="4FC02E4C"/>
    <w:rsid w:val="4FD7450A"/>
    <w:rsid w:val="4FEA45AF"/>
    <w:rsid w:val="4FEA6AF9"/>
    <w:rsid w:val="4FEC4D03"/>
    <w:rsid w:val="4FEE0C77"/>
    <w:rsid w:val="4FFA5761"/>
    <w:rsid w:val="4FFE5B72"/>
    <w:rsid w:val="4FFF2311"/>
    <w:rsid w:val="500E7233"/>
    <w:rsid w:val="50123BC0"/>
    <w:rsid w:val="50125B57"/>
    <w:rsid w:val="506B057F"/>
    <w:rsid w:val="5095221A"/>
    <w:rsid w:val="50AB00D6"/>
    <w:rsid w:val="50AE4856"/>
    <w:rsid w:val="50B421C0"/>
    <w:rsid w:val="50B70EA8"/>
    <w:rsid w:val="50BA6772"/>
    <w:rsid w:val="50BA6A29"/>
    <w:rsid w:val="50C21434"/>
    <w:rsid w:val="50CB601A"/>
    <w:rsid w:val="50D2253B"/>
    <w:rsid w:val="50E9548C"/>
    <w:rsid w:val="51147954"/>
    <w:rsid w:val="511928E6"/>
    <w:rsid w:val="51203A4C"/>
    <w:rsid w:val="51323DE6"/>
    <w:rsid w:val="513B6040"/>
    <w:rsid w:val="5144288F"/>
    <w:rsid w:val="51551C56"/>
    <w:rsid w:val="5156562C"/>
    <w:rsid w:val="51580054"/>
    <w:rsid w:val="51607F5A"/>
    <w:rsid w:val="51700899"/>
    <w:rsid w:val="51720702"/>
    <w:rsid w:val="518202BE"/>
    <w:rsid w:val="519C68A1"/>
    <w:rsid w:val="519E309F"/>
    <w:rsid w:val="51A412E2"/>
    <w:rsid w:val="51E14AA7"/>
    <w:rsid w:val="51E42B83"/>
    <w:rsid w:val="5204219E"/>
    <w:rsid w:val="520424E3"/>
    <w:rsid w:val="52255475"/>
    <w:rsid w:val="52313A50"/>
    <w:rsid w:val="523D58A7"/>
    <w:rsid w:val="52423280"/>
    <w:rsid w:val="524D6857"/>
    <w:rsid w:val="52575742"/>
    <w:rsid w:val="527226C8"/>
    <w:rsid w:val="52894A70"/>
    <w:rsid w:val="5298788F"/>
    <w:rsid w:val="529E0B16"/>
    <w:rsid w:val="52C50716"/>
    <w:rsid w:val="52CF41E8"/>
    <w:rsid w:val="52DB52FD"/>
    <w:rsid w:val="52DC4993"/>
    <w:rsid w:val="52E746EE"/>
    <w:rsid w:val="52EC4975"/>
    <w:rsid w:val="52F67142"/>
    <w:rsid w:val="530804F5"/>
    <w:rsid w:val="53250E5A"/>
    <w:rsid w:val="534E0588"/>
    <w:rsid w:val="53533D68"/>
    <w:rsid w:val="53640E00"/>
    <w:rsid w:val="536F7331"/>
    <w:rsid w:val="537417A0"/>
    <w:rsid w:val="53943EC5"/>
    <w:rsid w:val="53A25708"/>
    <w:rsid w:val="53B20987"/>
    <w:rsid w:val="53B61EB6"/>
    <w:rsid w:val="53C05A2A"/>
    <w:rsid w:val="53D11DB1"/>
    <w:rsid w:val="53D577D4"/>
    <w:rsid w:val="53DA605F"/>
    <w:rsid w:val="53E4121C"/>
    <w:rsid w:val="53EC2B31"/>
    <w:rsid w:val="541B4773"/>
    <w:rsid w:val="541F4BD2"/>
    <w:rsid w:val="542127E0"/>
    <w:rsid w:val="54275947"/>
    <w:rsid w:val="54296790"/>
    <w:rsid w:val="54297599"/>
    <w:rsid w:val="54303C0B"/>
    <w:rsid w:val="54312CC8"/>
    <w:rsid w:val="544D6BBE"/>
    <w:rsid w:val="545F56B9"/>
    <w:rsid w:val="54620D56"/>
    <w:rsid w:val="54787CAD"/>
    <w:rsid w:val="5489248E"/>
    <w:rsid w:val="549B7E6E"/>
    <w:rsid w:val="54A52DAC"/>
    <w:rsid w:val="54A6722B"/>
    <w:rsid w:val="54AB3880"/>
    <w:rsid w:val="54B0008E"/>
    <w:rsid w:val="54BD190D"/>
    <w:rsid w:val="54C9247D"/>
    <w:rsid w:val="54CD2027"/>
    <w:rsid w:val="54DA1EC9"/>
    <w:rsid w:val="54E4148C"/>
    <w:rsid w:val="54F175CD"/>
    <w:rsid w:val="54F86EE6"/>
    <w:rsid w:val="550E4252"/>
    <w:rsid w:val="55242A6A"/>
    <w:rsid w:val="55291F94"/>
    <w:rsid w:val="552F1C26"/>
    <w:rsid w:val="553E5310"/>
    <w:rsid w:val="5544709D"/>
    <w:rsid w:val="55470886"/>
    <w:rsid w:val="554E25E6"/>
    <w:rsid w:val="5557610F"/>
    <w:rsid w:val="555D65E0"/>
    <w:rsid w:val="556906FB"/>
    <w:rsid w:val="557E1851"/>
    <w:rsid w:val="55860E87"/>
    <w:rsid w:val="559F369F"/>
    <w:rsid w:val="55A06469"/>
    <w:rsid w:val="55A1254A"/>
    <w:rsid w:val="55A133CC"/>
    <w:rsid w:val="55A723CA"/>
    <w:rsid w:val="55AC29A7"/>
    <w:rsid w:val="55AF2063"/>
    <w:rsid w:val="55B13F9B"/>
    <w:rsid w:val="55CD1D94"/>
    <w:rsid w:val="55DE3541"/>
    <w:rsid w:val="55E85158"/>
    <w:rsid w:val="55F9253B"/>
    <w:rsid w:val="56034097"/>
    <w:rsid w:val="56056413"/>
    <w:rsid w:val="56066F9E"/>
    <w:rsid w:val="560D6C4F"/>
    <w:rsid w:val="56701729"/>
    <w:rsid w:val="56702CA3"/>
    <w:rsid w:val="569612D4"/>
    <w:rsid w:val="569C58AC"/>
    <w:rsid w:val="56A42D7A"/>
    <w:rsid w:val="56AC5ED0"/>
    <w:rsid w:val="56C22421"/>
    <w:rsid w:val="56C36F78"/>
    <w:rsid w:val="56CE3148"/>
    <w:rsid w:val="56DA1D2E"/>
    <w:rsid w:val="56F35790"/>
    <w:rsid w:val="56FD08DB"/>
    <w:rsid w:val="5706013F"/>
    <w:rsid w:val="5706053F"/>
    <w:rsid w:val="57080D76"/>
    <w:rsid w:val="570D1CEC"/>
    <w:rsid w:val="57122A24"/>
    <w:rsid w:val="571342F9"/>
    <w:rsid w:val="5717709E"/>
    <w:rsid w:val="572312DA"/>
    <w:rsid w:val="572467F4"/>
    <w:rsid w:val="572B5180"/>
    <w:rsid w:val="572D0F79"/>
    <w:rsid w:val="573C66D7"/>
    <w:rsid w:val="574C43C6"/>
    <w:rsid w:val="5754101B"/>
    <w:rsid w:val="5768048A"/>
    <w:rsid w:val="576D057F"/>
    <w:rsid w:val="576F78E3"/>
    <w:rsid w:val="57726BDE"/>
    <w:rsid w:val="578215E2"/>
    <w:rsid w:val="57996DF4"/>
    <w:rsid w:val="57AD3521"/>
    <w:rsid w:val="57B84C2F"/>
    <w:rsid w:val="57D26822"/>
    <w:rsid w:val="57D91D4A"/>
    <w:rsid w:val="57DF3FB5"/>
    <w:rsid w:val="57E056CD"/>
    <w:rsid w:val="57F30276"/>
    <w:rsid w:val="57FC314B"/>
    <w:rsid w:val="58176713"/>
    <w:rsid w:val="581827FB"/>
    <w:rsid w:val="581F6999"/>
    <w:rsid w:val="585551F6"/>
    <w:rsid w:val="585C7971"/>
    <w:rsid w:val="58620F63"/>
    <w:rsid w:val="5874191C"/>
    <w:rsid w:val="58853FDA"/>
    <w:rsid w:val="58A0799B"/>
    <w:rsid w:val="58AA6037"/>
    <w:rsid w:val="58AB175F"/>
    <w:rsid w:val="58B86A7D"/>
    <w:rsid w:val="58E96D46"/>
    <w:rsid w:val="590308F1"/>
    <w:rsid w:val="5912120B"/>
    <w:rsid w:val="59164C67"/>
    <w:rsid w:val="592177FC"/>
    <w:rsid w:val="59510834"/>
    <w:rsid w:val="59601FF5"/>
    <w:rsid w:val="59607284"/>
    <w:rsid w:val="59765EA8"/>
    <w:rsid w:val="59826597"/>
    <w:rsid w:val="598C5A0F"/>
    <w:rsid w:val="598F30CA"/>
    <w:rsid w:val="59996DA9"/>
    <w:rsid w:val="59A10533"/>
    <w:rsid w:val="59AC79C1"/>
    <w:rsid w:val="59B55F44"/>
    <w:rsid w:val="59BC6BA7"/>
    <w:rsid w:val="59C169F9"/>
    <w:rsid w:val="59C5056A"/>
    <w:rsid w:val="59CE0B0F"/>
    <w:rsid w:val="59D84247"/>
    <w:rsid w:val="59D87FB1"/>
    <w:rsid w:val="59E809F6"/>
    <w:rsid w:val="5A0F7D22"/>
    <w:rsid w:val="5A142930"/>
    <w:rsid w:val="5A1C2A4F"/>
    <w:rsid w:val="5A1F5929"/>
    <w:rsid w:val="5A413C03"/>
    <w:rsid w:val="5A445162"/>
    <w:rsid w:val="5A4C4B68"/>
    <w:rsid w:val="5A557173"/>
    <w:rsid w:val="5A5C7E2E"/>
    <w:rsid w:val="5A705B3D"/>
    <w:rsid w:val="5A721994"/>
    <w:rsid w:val="5A7D61B6"/>
    <w:rsid w:val="5A855760"/>
    <w:rsid w:val="5A892F0E"/>
    <w:rsid w:val="5A927B87"/>
    <w:rsid w:val="5A971A00"/>
    <w:rsid w:val="5A9B4B77"/>
    <w:rsid w:val="5A9F7CED"/>
    <w:rsid w:val="5AA1377D"/>
    <w:rsid w:val="5AA63755"/>
    <w:rsid w:val="5AAA16B8"/>
    <w:rsid w:val="5AAE0A6F"/>
    <w:rsid w:val="5AB52CFE"/>
    <w:rsid w:val="5ACF0318"/>
    <w:rsid w:val="5ADA6A1A"/>
    <w:rsid w:val="5ADF2C22"/>
    <w:rsid w:val="5AF50889"/>
    <w:rsid w:val="5AFD24BC"/>
    <w:rsid w:val="5B030BF9"/>
    <w:rsid w:val="5B0C0A05"/>
    <w:rsid w:val="5B1134F5"/>
    <w:rsid w:val="5B1C1330"/>
    <w:rsid w:val="5B1F4CF7"/>
    <w:rsid w:val="5B3175F5"/>
    <w:rsid w:val="5B604CDF"/>
    <w:rsid w:val="5B735FF0"/>
    <w:rsid w:val="5B7948CC"/>
    <w:rsid w:val="5B836749"/>
    <w:rsid w:val="5B86544E"/>
    <w:rsid w:val="5B87196B"/>
    <w:rsid w:val="5B943145"/>
    <w:rsid w:val="5B9C0AB8"/>
    <w:rsid w:val="5BA8657A"/>
    <w:rsid w:val="5BB5241F"/>
    <w:rsid w:val="5BB65ECE"/>
    <w:rsid w:val="5BCD736F"/>
    <w:rsid w:val="5BD22875"/>
    <w:rsid w:val="5BD30DD9"/>
    <w:rsid w:val="5BD7150F"/>
    <w:rsid w:val="5BDF7534"/>
    <w:rsid w:val="5BEC2ABA"/>
    <w:rsid w:val="5BEE3A39"/>
    <w:rsid w:val="5BF97E0E"/>
    <w:rsid w:val="5BFD3B7C"/>
    <w:rsid w:val="5C0346F9"/>
    <w:rsid w:val="5C20062E"/>
    <w:rsid w:val="5C3C2A13"/>
    <w:rsid w:val="5C43267B"/>
    <w:rsid w:val="5C4D01C3"/>
    <w:rsid w:val="5C5B5829"/>
    <w:rsid w:val="5C6C6BEE"/>
    <w:rsid w:val="5C6D6368"/>
    <w:rsid w:val="5C721A44"/>
    <w:rsid w:val="5C793DB9"/>
    <w:rsid w:val="5C835977"/>
    <w:rsid w:val="5C87750A"/>
    <w:rsid w:val="5C9F2E73"/>
    <w:rsid w:val="5C9F505D"/>
    <w:rsid w:val="5CA8185D"/>
    <w:rsid w:val="5CC93B10"/>
    <w:rsid w:val="5CD00AAC"/>
    <w:rsid w:val="5CD06D65"/>
    <w:rsid w:val="5CDE4D32"/>
    <w:rsid w:val="5D0576FB"/>
    <w:rsid w:val="5D0F7713"/>
    <w:rsid w:val="5D0F79D5"/>
    <w:rsid w:val="5D1A5E38"/>
    <w:rsid w:val="5D1E23A3"/>
    <w:rsid w:val="5D1E2984"/>
    <w:rsid w:val="5D2075CD"/>
    <w:rsid w:val="5D230391"/>
    <w:rsid w:val="5D2D0D77"/>
    <w:rsid w:val="5D314E09"/>
    <w:rsid w:val="5D3B7140"/>
    <w:rsid w:val="5D42534E"/>
    <w:rsid w:val="5D4A7AC5"/>
    <w:rsid w:val="5D5572D2"/>
    <w:rsid w:val="5D5B1D99"/>
    <w:rsid w:val="5D786332"/>
    <w:rsid w:val="5D8727E5"/>
    <w:rsid w:val="5DA51F18"/>
    <w:rsid w:val="5DF617F0"/>
    <w:rsid w:val="5E236C8D"/>
    <w:rsid w:val="5E3F47F3"/>
    <w:rsid w:val="5E595F4C"/>
    <w:rsid w:val="5E5C50BF"/>
    <w:rsid w:val="5E6425BF"/>
    <w:rsid w:val="5E65717E"/>
    <w:rsid w:val="5E7B58EC"/>
    <w:rsid w:val="5E7E23E2"/>
    <w:rsid w:val="5E7F0949"/>
    <w:rsid w:val="5E8A4453"/>
    <w:rsid w:val="5EC32768"/>
    <w:rsid w:val="5EC94197"/>
    <w:rsid w:val="5ED17E65"/>
    <w:rsid w:val="5EE0784A"/>
    <w:rsid w:val="5EE926E9"/>
    <w:rsid w:val="5EE97588"/>
    <w:rsid w:val="5EF20148"/>
    <w:rsid w:val="5F141F50"/>
    <w:rsid w:val="5F1C7A1F"/>
    <w:rsid w:val="5F227206"/>
    <w:rsid w:val="5F341FF4"/>
    <w:rsid w:val="5F397D45"/>
    <w:rsid w:val="5F4B313B"/>
    <w:rsid w:val="5F4F5621"/>
    <w:rsid w:val="5F511BB1"/>
    <w:rsid w:val="5F5775AA"/>
    <w:rsid w:val="5F6D47BA"/>
    <w:rsid w:val="5F6E2DCA"/>
    <w:rsid w:val="5F8A282E"/>
    <w:rsid w:val="5FB07AF0"/>
    <w:rsid w:val="5FC91D85"/>
    <w:rsid w:val="5FD81B05"/>
    <w:rsid w:val="5FD90E7D"/>
    <w:rsid w:val="5FF6336B"/>
    <w:rsid w:val="5FFB5E04"/>
    <w:rsid w:val="60185C59"/>
    <w:rsid w:val="601D2F02"/>
    <w:rsid w:val="603A3035"/>
    <w:rsid w:val="603B60D9"/>
    <w:rsid w:val="6058188D"/>
    <w:rsid w:val="6063674F"/>
    <w:rsid w:val="60AC1F87"/>
    <w:rsid w:val="60AC2592"/>
    <w:rsid w:val="60B37578"/>
    <w:rsid w:val="60BE5EA9"/>
    <w:rsid w:val="60D00471"/>
    <w:rsid w:val="60DC14CC"/>
    <w:rsid w:val="60FF1406"/>
    <w:rsid w:val="612400B1"/>
    <w:rsid w:val="612537AE"/>
    <w:rsid w:val="61297814"/>
    <w:rsid w:val="613040B4"/>
    <w:rsid w:val="61314A3A"/>
    <w:rsid w:val="6141098D"/>
    <w:rsid w:val="61531DB2"/>
    <w:rsid w:val="615833A3"/>
    <w:rsid w:val="61727C85"/>
    <w:rsid w:val="619448FF"/>
    <w:rsid w:val="61A575A0"/>
    <w:rsid w:val="61C806A8"/>
    <w:rsid w:val="61DF2556"/>
    <w:rsid w:val="61E11CAD"/>
    <w:rsid w:val="62147FBB"/>
    <w:rsid w:val="622C2057"/>
    <w:rsid w:val="622E58C5"/>
    <w:rsid w:val="626A0E6E"/>
    <w:rsid w:val="627403C2"/>
    <w:rsid w:val="628140A6"/>
    <w:rsid w:val="62890AE8"/>
    <w:rsid w:val="628E328B"/>
    <w:rsid w:val="629973BF"/>
    <w:rsid w:val="62A56970"/>
    <w:rsid w:val="62B32CEF"/>
    <w:rsid w:val="62BE511E"/>
    <w:rsid w:val="62F30A7A"/>
    <w:rsid w:val="62F3165E"/>
    <w:rsid w:val="631E222D"/>
    <w:rsid w:val="63313EBB"/>
    <w:rsid w:val="636E5C34"/>
    <w:rsid w:val="637E0327"/>
    <w:rsid w:val="638D474D"/>
    <w:rsid w:val="6398005F"/>
    <w:rsid w:val="639B0953"/>
    <w:rsid w:val="639B3553"/>
    <w:rsid w:val="639E1342"/>
    <w:rsid w:val="63AD1985"/>
    <w:rsid w:val="63B27C01"/>
    <w:rsid w:val="63BD1CE7"/>
    <w:rsid w:val="63D74E9F"/>
    <w:rsid w:val="63DE4354"/>
    <w:rsid w:val="63E741D8"/>
    <w:rsid w:val="63ED74DE"/>
    <w:rsid w:val="63F459FC"/>
    <w:rsid w:val="63F501CD"/>
    <w:rsid w:val="63F5766C"/>
    <w:rsid w:val="64071787"/>
    <w:rsid w:val="640A4139"/>
    <w:rsid w:val="640A5372"/>
    <w:rsid w:val="640D382E"/>
    <w:rsid w:val="640D4527"/>
    <w:rsid w:val="64133010"/>
    <w:rsid w:val="641C50A9"/>
    <w:rsid w:val="642A67B5"/>
    <w:rsid w:val="642E7CA6"/>
    <w:rsid w:val="643914E5"/>
    <w:rsid w:val="64526164"/>
    <w:rsid w:val="64595051"/>
    <w:rsid w:val="645A28E2"/>
    <w:rsid w:val="645E59AD"/>
    <w:rsid w:val="64605BF5"/>
    <w:rsid w:val="64671409"/>
    <w:rsid w:val="646D53B5"/>
    <w:rsid w:val="64825DAA"/>
    <w:rsid w:val="64956C03"/>
    <w:rsid w:val="64A67BDA"/>
    <w:rsid w:val="64E2162B"/>
    <w:rsid w:val="64E30C60"/>
    <w:rsid w:val="64E81568"/>
    <w:rsid w:val="64FD5601"/>
    <w:rsid w:val="650440FD"/>
    <w:rsid w:val="650613CD"/>
    <w:rsid w:val="65074D08"/>
    <w:rsid w:val="650E6BF3"/>
    <w:rsid w:val="6514292A"/>
    <w:rsid w:val="6518208F"/>
    <w:rsid w:val="65196556"/>
    <w:rsid w:val="65454B28"/>
    <w:rsid w:val="656A49DB"/>
    <w:rsid w:val="656A4C15"/>
    <w:rsid w:val="656E38CA"/>
    <w:rsid w:val="657A64BB"/>
    <w:rsid w:val="657F727A"/>
    <w:rsid w:val="6586068A"/>
    <w:rsid w:val="659324AD"/>
    <w:rsid w:val="65933814"/>
    <w:rsid w:val="65A92399"/>
    <w:rsid w:val="65AC519A"/>
    <w:rsid w:val="65E62049"/>
    <w:rsid w:val="65E66712"/>
    <w:rsid w:val="65F51B70"/>
    <w:rsid w:val="66081FE4"/>
    <w:rsid w:val="660C6FF1"/>
    <w:rsid w:val="66371620"/>
    <w:rsid w:val="663D08BC"/>
    <w:rsid w:val="66440A25"/>
    <w:rsid w:val="665937E3"/>
    <w:rsid w:val="66783160"/>
    <w:rsid w:val="669C4BE2"/>
    <w:rsid w:val="66A80DB6"/>
    <w:rsid w:val="66AC74F5"/>
    <w:rsid w:val="66AD4091"/>
    <w:rsid w:val="66B036AA"/>
    <w:rsid w:val="66F824FD"/>
    <w:rsid w:val="66F84618"/>
    <w:rsid w:val="67065369"/>
    <w:rsid w:val="672002B4"/>
    <w:rsid w:val="672E2721"/>
    <w:rsid w:val="672F0BDE"/>
    <w:rsid w:val="674B2564"/>
    <w:rsid w:val="67576C8D"/>
    <w:rsid w:val="675E49E5"/>
    <w:rsid w:val="67767C08"/>
    <w:rsid w:val="67882F0A"/>
    <w:rsid w:val="67890635"/>
    <w:rsid w:val="67913AF7"/>
    <w:rsid w:val="679C7620"/>
    <w:rsid w:val="679E76E8"/>
    <w:rsid w:val="67A01D36"/>
    <w:rsid w:val="67B4221B"/>
    <w:rsid w:val="67B86043"/>
    <w:rsid w:val="67BC0790"/>
    <w:rsid w:val="67C06261"/>
    <w:rsid w:val="67D445C9"/>
    <w:rsid w:val="67EA1CBE"/>
    <w:rsid w:val="67EB4052"/>
    <w:rsid w:val="67EC26FF"/>
    <w:rsid w:val="67FA0C15"/>
    <w:rsid w:val="680D2711"/>
    <w:rsid w:val="6821479D"/>
    <w:rsid w:val="682839A5"/>
    <w:rsid w:val="682A5E67"/>
    <w:rsid w:val="682C5482"/>
    <w:rsid w:val="68367249"/>
    <w:rsid w:val="68374713"/>
    <w:rsid w:val="684F7671"/>
    <w:rsid w:val="685B3DBC"/>
    <w:rsid w:val="686C4CA7"/>
    <w:rsid w:val="688E6B42"/>
    <w:rsid w:val="689046D8"/>
    <w:rsid w:val="689C19A7"/>
    <w:rsid w:val="68A04824"/>
    <w:rsid w:val="68A27318"/>
    <w:rsid w:val="68B83FCD"/>
    <w:rsid w:val="68BC5D09"/>
    <w:rsid w:val="68C40153"/>
    <w:rsid w:val="68C512EC"/>
    <w:rsid w:val="68C61FAA"/>
    <w:rsid w:val="68CD3FED"/>
    <w:rsid w:val="68CE39B4"/>
    <w:rsid w:val="68D13AA5"/>
    <w:rsid w:val="68D47271"/>
    <w:rsid w:val="68DB58B3"/>
    <w:rsid w:val="68F87F8E"/>
    <w:rsid w:val="68FA7858"/>
    <w:rsid w:val="69017ACE"/>
    <w:rsid w:val="690D79E8"/>
    <w:rsid w:val="69144CC0"/>
    <w:rsid w:val="6928006E"/>
    <w:rsid w:val="693A48DC"/>
    <w:rsid w:val="69637FF4"/>
    <w:rsid w:val="69650C1F"/>
    <w:rsid w:val="69683388"/>
    <w:rsid w:val="69744451"/>
    <w:rsid w:val="69812368"/>
    <w:rsid w:val="699A3830"/>
    <w:rsid w:val="69C35137"/>
    <w:rsid w:val="69CF6FFA"/>
    <w:rsid w:val="69D129B7"/>
    <w:rsid w:val="69D271BF"/>
    <w:rsid w:val="69E33811"/>
    <w:rsid w:val="69E678C6"/>
    <w:rsid w:val="69E83505"/>
    <w:rsid w:val="69E92D8D"/>
    <w:rsid w:val="6A1A7606"/>
    <w:rsid w:val="6A2229ED"/>
    <w:rsid w:val="6A3D2D19"/>
    <w:rsid w:val="6A763C2C"/>
    <w:rsid w:val="6A8022B0"/>
    <w:rsid w:val="6A843A8E"/>
    <w:rsid w:val="6A861B39"/>
    <w:rsid w:val="6A912590"/>
    <w:rsid w:val="6A917224"/>
    <w:rsid w:val="6A9668E4"/>
    <w:rsid w:val="6A9C62FC"/>
    <w:rsid w:val="6A9F4252"/>
    <w:rsid w:val="6AA60058"/>
    <w:rsid w:val="6AA866BA"/>
    <w:rsid w:val="6AB774CE"/>
    <w:rsid w:val="6ABD3EE1"/>
    <w:rsid w:val="6ACB471C"/>
    <w:rsid w:val="6ACC00F1"/>
    <w:rsid w:val="6AD301C7"/>
    <w:rsid w:val="6ADA2E7B"/>
    <w:rsid w:val="6ADD40C5"/>
    <w:rsid w:val="6AFC0248"/>
    <w:rsid w:val="6AFC55FA"/>
    <w:rsid w:val="6B115076"/>
    <w:rsid w:val="6B15491F"/>
    <w:rsid w:val="6B1726BA"/>
    <w:rsid w:val="6B5F76FC"/>
    <w:rsid w:val="6B785B87"/>
    <w:rsid w:val="6B8A30B6"/>
    <w:rsid w:val="6B936FB3"/>
    <w:rsid w:val="6B9375DA"/>
    <w:rsid w:val="6BA32A9A"/>
    <w:rsid w:val="6BA76870"/>
    <w:rsid w:val="6BCE7DBE"/>
    <w:rsid w:val="6BD53BA1"/>
    <w:rsid w:val="6BD82EF3"/>
    <w:rsid w:val="6BDE7973"/>
    <w:rsid w:val="6BE04795"/>
    <w:rsid w:val="6BE65745"/>
    <w:rsid w:val="6BE912C0"/>
    <w:rsid w:val="6BEF1695"/>
    <w:rsid w:val="6C3001FD"/>
    <w:rsid w:val="6C365A73"/>
    <w:rsid w:val="6C4074E6"/>
    <w:rsid w:val="6C410C00"/>
    <w:rsid w:val="6C5C1842"/>
    <w:rsid w:val="6C6667F4"/>
    <w:rsid w:val="6C787E50"/>
    <w:rsid w:val="6C7B102A"/>
    <w:rsid w:val="6C7C6C3F"/>
    <w:rsid w:val="6C7C787B"/>
    <w:rsid w:val="6C7D2FC6"/>
    <w:rsid w:val="6C8D532E"/>
    <w:rsid w:val="6C91192B"/>
    <w:rsid w:val="6C9E700E"/>
    <w:rsid w:val="6CA155DB"/>
    <w:rsid w:val="6CC43B00"/>
    <w:rsid w:val="6CCE108A"/>
    <w:rsid w:val="6CD450E0"/>
    <w:rsid w:val="6CD55849"/>
    <w:rsid w:val="6CEF7C48"/>
    <w:rsid w:val="6CF94688"/>
    <w:rsid w:val="6CFB34EE"/>
    <w:rsid w:val="6D000E28"/>
    <w:rsid w:val="6D0C719F"/>
    <w:rsid w:val="6D2E0652"/>
    <w:rsid w:val="6D3E131B"/>
    <w:rsid w:val="6D3E26F9"/>
    <w:rsid w:val="6D423A52"/>
    <w:rsid w:val="6D5118E8"/>
    <w:rsid w:val="6D573F20"/>
    <w:rsid w:val="6D5E3CE3"/>
    <w:rsid w:val="6D671D25"/>
    <w:rsid w:val="6D6856E5"/>
    <w:rsid w:val="6D6B17E5"/>
    <w:rsid w:val="6D7F5EC2"/>
    <w:rsid w:val="6D8B4B30"/>
    <w:rsid w:val="6D904F42"/>
    <w:rsid w:val="6D9715BD"/>
    <w:rsid w:val="6DA4731F"/>
    <w:rsid w:val="6DB13D2D"/>
    <w:rsid w:val="6DB2311B"/>
    <w:rsid w:val="6DBC3827"/>
    <w:rsid w:val="6DF53564"/>
    <w:rsid w:val="6DF5617C"/>
    <w:rsid w:val="6DFD0284"/>
    <w:rsid w:val="6E0A7DDD"/>
    <w:rsid w:val="6E0D3544"/>
    <w:rsid w:val="6E1022F0"/>
    <w:rsid w:val="6E1C37FD"/>
    <w:rsid w:val="6E1E312F"/>
    <w:rsid w:val="6E204D42"/>
    <w:rsid w:val="6E2B6E8E"/>
    <w:rsid w:val="6E326006"/>
    <w:rsid w:val="6E3E2AAF"/>
    <w:rsid w:val="6E3F1EC0"/>
    <w:rsid w:val="6E5543E8"/>
    <w:rsid w:val="6E5F7C58"/>
    <w:rsid w:val="6E6F53F4"/>
    <w:rsid w:val="6E7B7BAA"/>
    <w:rsid w:val="6E831286"/>
    <w:rsid w:val="6E96597A"/>
    <w:rsid w:val="6E9A4712"/>
    <w:rsid w:val="6EAF7C2E"/>
    <w:rsid w:val="6EC34399"/>
    <w:rsid w:val="6ECA2C6F"/>
    <w:rsid w:val="6ECF657F"/>
    <w:rsid w:val="6EE34E5E"/>
    <w:rsid w:val="6EE76820"/>
    <w:rsid w:val="6F0309EC"/>
    <w:rsid w:val="6F0313A7"/>
    <w:rsid w:val="6F0C5AD3"/>
    <w:rsid w:val="6F255F77"/>
    <w:rsid w:val="6F26731D"/>
    <w:rsid w:val="6F3C2421"/>
    <w:rsid w:val="6F4B5873"/>
    <w:rsid w:val="6F5658FF"/>
    <w:rsid w:val="6F5F15A1"/>
    <w:rsid w:val="6F631E53"/>
    <w:rsid w:val="6F803C30"/>
    <w:rsid w:val="6F8B7E6D"/>
    <w:rsid w:val="6FA2172F"/>
    <w:rsid w:val="6FAD7B1E"/>
    <w:rsid w:val="6FB83BD1"/>
    <w:rsid w:val="6FEA320D"/>
    <w:rsid w:val="6FFC3729"/>
    <w:rsid w:val="6FFE5087"/>
    <w:rsid w:val="7017077B"/>
    <w:rsid w:val="701A7105"/>
    <w:rsid w:val="701C6D15"/>
    <w:rsid w:val="701D3556"/>
    <w:rsid w:val="701F43FF"/>
    <w:rsid w:val="703B3CDC"/>
    <w:rsid w:val="703D01FC"/>
    <w:rsid w:val="704010C3"/>
    <w:rsid w:val="7041576B"/>
    <w:rsid w:val="704548A7"/>
    <w:rsid w:val="705A4DC4"/>
    <w:rsid w:val="70647078"/>
    <w:rsid w:val="70845523"/>
    <w:rsid w:val="7084764A"/>
    <w:rsid w:val="70854A38"/>
    <w:rsid w:val="708723E6"/>
    <w:rsid w:val="708A2370"/>
    <w:rsid w:val="70BC4224"/>
    <w:rsid w:val="70CA4F5A"/>
    <w:rsid w:val="70CB50D0"/>
    <w:rsid w:val="7110058F"/>
    <w:rsid w:val="712A132D"/>
    <w:rsid w:val="713629C2"/>
    <w:rsid w:val="713C3EBC"/>
    <w:rsid w:val="714F69ED"/>
    <w:rsid w:val="716727F7"/>
    <w:rsid w:val="716F3D5E"/>
    <w:rsid w:val="7170513A"/>
    <w:rsid w:val="718A1659"/>
    <w:rsid w:val="71AD46A4"/>
    <w:rsid w:val="71B61B1C"/>
    <w:rsid w:val="71CD72E1"/>
    <w:rsid w:val="71D61FC3"/>
    <w:rsid w:val="71DA6848"/>
    <w:rsid w:val="71FC7B13"/>
    <w:rsid w:val="71FD52C7"/>
    <w:rsid w:val="72004364"/>
    <w:rsid w:val="720517C5"/>
    <w:rsid w:val="721106DE"/>
    <w:rsid w:val="722E114C"/>
    <w:rsid w:val="723C2C6B"/>
    <w:rsid w:val="72526494"/>
    <w:rsid w:val="726F1B71"/>
    <w:rsid w:val="72AF099E"/>
    <w:rsid w:val="72BA21EC"/>
    <w:rsid w:val="72BE210D"/>
    <w:rsid w:val="72C12700"/>
    <w:rsid w:val="72C3290F"/>
    <w:rsid w:val="72D96C84"/>
    <w:rsid w:val="72E351D9"/>
    <w:rsid w:val="72FF6EFE"/>
    <w:rsid w:val="73027750"/>
    <w:rsid w:val="730B5BE0"/>
    <w:rsid w:val="730E16F5"/>
    <w:rsid w:val="73136D7C"/>
    <w:rsid w:val="73142D7C"/>
    <w:rsid w:val="7322413B"/>
    <w:rsid w:val="73234271"/>
    <w:rsid w:val="7335128C"/>
    <w:rsid w:val="7344665E"/>
    <w:rsid w:val="7358637A"/>
    <w:rsid w:val="73862281"/>
    <w:rsid w:val="73A27C94"/>
    <w:rsid w:val="73A4050B"/>
    <w:rsid w:val="73B6796A"/>
    <w:rsid w:val="73BC00A5"/>
    <w:rsid w:val="73C270AA"/>
    <w:rsid w:val="73C42DC8"/>
    <w:rsid w:val="73C720FE"/>
    <w:rsid w:val="73CC1F97"/>
    <w:rsid w:val="73D078A6"/>
    <w:rsid w:val="73DC3B42"/>
    <w:rsid w:val="73E70279"/>
    <w:rsid w:val="73F32AC4"/>
    <w:rsid w:val="74060A6D"/>
    <w:rsid w:val="741F4133"/>
    <w:rsid w:val="7426232E"/>
    <w:rsid w:val="743C4319"/>
    <w:rsid w:val="744A5EA4"/>
    <w:rsid w:val="745D0C05"/>
    <w:rsid w:val="74991692"/>
    <w:rsid w:val="749B7992"/>
    <w:rsid w:val="74A57094"/>
    <w:rsid w:val="74AB5407"/>
    <w:rsid w:val="74CB2099"/>
    <w:rsid w:val="74D419D6"/>
    <w:rsid w:val="74DE35DB"/>
    <w:rsid w:val="74EB460F"/>
    <w:rsid w:val="75062CD8"/>
    <w:rsid w:val="75077D81"/>
    <w:rsid w:val="75094C65"/>
    <w:rsid w:val="753379B0"/>
    <w:rsid w:val="75372CE8"/>
    <w:rsid w:val="756103A4"/>
    <w:rsid w:val="756D06E2"/>
    <w:rsid w:val="7587038F"/>
    <w:rsid w:val="75A0318F"/>
    <w:rsid w:val="75B52F82"/>
    <w:rsid w:val="75B82788"/>
    <w:rsid w:val="75BE79E3"/>
    <w:rsid w:val="75C12D2B"/>
    <w:rsid w:val="75D7160B"/>
    <w:rsid w:val="75DB19B2"/>
    <w:rsid w:val="75DD687C"/>
    <w:rsid w:val="75F426A1"/>
    <w:rsid w:val="75FD5F11"/>
    <w:rsid w:val="761B7FB5"/>
    <w:rsid w:val="761E7649"/>
    <w:rsid w:val="762B0082"/>
    <w:rsid w:val="763B67EB"/>
    <w:rsid w:val="763F46B4"/>
    <w:rsid w:val="76532D0C"/>
    <w:rsid w:val="765A64B9"/>
    <w:rsid w:val="7696022E"/>
    <w:rsid w:val="769F3400"/>
    <w:rsid w:val="76A97E80"/>
    <w:rsid w:val="76AA64E6"/>
    <w:rsid w:val="76B540DB"/>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500692"/>
    <w:rsid w:val="77530EC3"/>
    <w:rsid w:val="777E7888"/>
    <w:rsid w:val="778271A2"/>
    <w:rsid w:val="77827F3C"/>
    <w:rsid w:val="77845067"/>
    <w:rsid w:val="77852A7F"/>
    <w:rsid w:val="77B55F2E"/>
    <w:rsid w:val="77D8618B"/>
    <w:rsid w:val="77E91EF5"/>
    <w:rsid w:val="780C794F"/>
    <w:rsid w:val="781047B3"/>
    <w:rsid w:val="7816305B"/>
    <w:rsid w:val="781F21E5"/>
    <w:rsid w:val="7825161E"/>
    <w:rsid w:val="784255A8"/>
    <w:rsid w:val="78451312"/>
    <w:rsid w:val="785829AF"/>
    <w:rsid w:val="785F26C9"/>
    <w:rsid w:val="78790078"/>
    <w:rsid w:val="789913C0"/>
    <w:rsid w:val="78997B78"/>
    <w:rsid w:val="78A418EA"/>
    <w:rsid w:val="78C41D7A"/>
    <w:rsid w:val="78CB2F33"/>
    <w:rsid w:val="78DE650C"/>
    <w:rsid w:val="78E02677"/>
    <w:rsid w:val="78EE0E4F"/>
    <w:rsid w:val="78F46E96"/>
    <w:rsid w:val="78FC207D"/>
    <w:rsid w:val="78FE5FEE"/>
    <w:rsid w:val="791C38D3"/>
    <w:rsid w:val="79244401"/>
    <w:rsid w:val="7924462B"/>
    <w:rsid w:val="79244646"/>
    <w:rsid w:val="792B2CAD"/>
    <w:rsid w:val="792E0DEE"/>
    <w:rsid w:val="79317A55"/>
    <w:rsid w:val="794562E9"/>
    <w:rsid w:val="794D313C"/>
    <w:rsid w:val="795667EE"/>
    <w:rsid w:val="795A1670"/>
    <w:rsid w:val="79641653"/>
    <w:rsid w:val="79664C14"/>
    <w:rsid w:val="796923EA"/>
    <w:rsid w:val="797263AE"/>
    <w:rsid w:val="79753740"/>
    <w:rsid w:val="799B2828"/>
    <w:rsid w:val="79C97FB0"/>
    <w:rsid w:val="79D93AFA"/>
    <w:rsid w:val="79EA0FFD"/>
    <w:rsid w:val="79ED3649"/>
    <w:rsid w:val="7A0365DC"/>
    <w:rsid w:val="7A157FD2"/>
    <w:rsid w:val="7A2A1D2C"/>
    <w:rsid w:val="7A331F08"/>
    <w:rsid w:val="7A3F6347"/>
    <w:rsid w:val="7A4C3830"/>
    <w:rsid w:val="7A671FF3"/>
    <w:rsid w:val="7A73178E"/>
    <w:rsid w:val="7A7F54F8"/>
    <w:rsid w:val="7A926788"/>
    <w:rsid w:val="7AA310F2"/>
    <w:rsid w:val="7ACF3C60"/>
    <w:rsid w:val="7AD02BF7"/>
    <w:rsid w:val="7ADC7DA0"/>
    <w:rsid w:val="7ADF7839"/>
    <w:rsid w:val="7AE57504"/>
    <w:rsid w:val="7AEC7EBF"/>
    <w:rsid w:val="7B004596"/>
    <w:rsid w:val="7B03791F"/>
    <w:rsid w:val="7B0B7491"/>
    <w:rsid w:val="7B221D52"/>
    <w:rsid w:val="7B23033E"/>
    <w:rsid w:val="7B28618E"/>
    <w:rsid w:val="7B42499F"/>
    <w:rsid w:val="7B4310C8"/>
    <w:rsid w:val="7B6B4049"/>
    <w:rsid w:val="7B6D63F4"/>
    <w:rsid w:val="7B7142EA"/>
    <w:rsid w:val="7B7761D9"/>
    <w:rsid w:val="7B877C54"/>
    <w:rsid w:val="7B8C26DB"/>
    <w:rsid w:val="7BB77097"/>
    <w:rsid w:val="7BC46081"/>
    <w:rsid w:val="7BCB22CD"/>
    <w:rsid w:val="7BDF77D2"/>
    <w:rsid w:val="7BE779B4"/>
    <w:rsid w:val="7BF72207"/>
    <w:rsid w:val="7BFD241F"/>
    <w:rsid w:val="7C0908E9"/>
    <w:rsid w:val="7C17381A"/>
    <w:rsid w:val="7C275A24"/>
    <w:rsid w:val="7C2D6C34"/>
    <w:rsid w:val="7C3779AA"/>
    <w:rsid w:val="7C447564"/>
    <w:rsid w:val="7C464BD1"/>
    <w:rsid w:val="7C5465CC"/>
    <w:rsid w:val="7C5A086B"/>
    <w:rsid w:val="7C5A4A36"/>
    <w:rsid w:val="7C5B25F7"/>
    <w:rsid w:val="7C5D28D4"/>
    <w:rsid w:val="7C5E1F8C"/>
    <w:rsid w:val="7C650448"/>
    <w:rsid w:val="7C9317D9"/>
    <w:rsid w:val="7C962608"/>
    <w:rsid w:val="7C9711B4"/>
    <w:rsid w:val="7CA36ACC"/>
    <w:rsid w:val="7CAE532D"/>
    <w:rsid w:val="7CAE73DF"/>
    <w:rsid w:val="7CDB126F"/>
    <w:rsid w:val="7CE36B2C"/>
    <w:rsid w:val="7CEC3BD7"/>
    <w:rsid w:val="7CF40623"/>
    <w:rsid w:val="7D0012C5"/>
    <w:rsid w:val="7D2840E2"/>
    <w:rsid w:val="7D323383"/>
    <w:rsid w:val="7D4209ED"/>
    <w:rsid w:val="7D473E80"/>
    <w:rsid w:val="7D484985"/>
    <w:rsid w:val="7D516F35"/>
    <w:rsid w:val="7D5350DF"/>
    <w:rsid w:val="7D5356AC"/>
    <w:rsid w:val="7D590603"/>
    <w:rsid w:val="7D6A29C1"/>
    <w:rsid w:val="7D766F1F"/>
    <w:rsid w:val="7D7703E4"/>
    <w:rsid w:val="7D89693E"/>
    <w:rsid w:val="7D930D9E"/>
    <w:rsid w:val="7DA25346"/>
    <w:rsid w:val="7DB92F00"/>
    <w:rsid w:val="7DC80CCB"/>
    <w:rsid w:val="7DCD4688"/>
    <w:rsid w:val="7DD110DE"/>
    <w:rsid w:val="7DE72EED"/>
    <w:rsid w:val="7DE73EF7"/>
    <w:rsid w:val="7DF36EF8"/>
    <w:rsid w:val="7DFA0A6C"/>
    <w:rsid w:val="7E210E16"/>
    <w:rsid w:val="7E3430E6"/>
    <w:rsid w:val="7E480029"/>
    <w:rsid w:val="7E4E59A1"/>
    <w:rsid w:val="7E597CD7"/>
    <w:rsid w:val="7E623BDD"/>
    <w:rsid w:val="7E646C40"/>
    <w:rsid w:val="7E682AF4"/>
    <w:rsid w:val="7E907228"/>
    <w:rsid w:val="7E9132FB"/>
    <w:rsid w:val="7EA52415"/>
    <w:rsid w:val="7EC06781"/>
    <w:rsid w:val="7ECF1F3E"/>
    <w:rsid w:val="7EDB452D"/>
    <w:rsid w:val="7EDF109A"/>
    <w:rsid w:val="7EE03421"/>
    <w:rsid w:val="7EE05793"/>
    <w:rsid w:val="7EE70BC1"/>
    <w:rsid w:val="7EF210A1"/>
    <w:rsid w:val="7EF35C84"/>
    <w:rsid w:val="7F0A4AEC"/>
    <w:rsid w:val="7F1F2CD5"/>
    <w:rsid w:val="7F202501"/>
    <w:rsid w:val="7F2E4DD6"/>
    <w:rsid w:val="7F397C9F"/>
    <w:rsid w:val="7F425028"/>
    <w:rsid w:val="7F511F5F"/>
    <w:rsid w:val="7F7F111A"/>
    <w:rsid w:val="7F9D7279"/>
    <w:rsid w:val="7FC441A9"/>
    <w:rsid w:val="7FD24120"/>
    <w:rsid w:val="7FE84A59"/>
    <w:rsid w:val="7FED7352"/>
    <w:rsid w:val="7FE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qFormat="1" w:uiPriority="99" w:semiHidden="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3"/>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103"/>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83"/>
    <w:qFormat/>
    <w:uiPriority w:val="9"/>
    <w:pPr>
      <w:numPr>
        <w:ilvl w:val="2"/>
        <w:numId w:val="2"/>
      </w:numPr>
      <w:tabs>
        <w:tab w:val="clear" w:pos="720"/>
      </w:tabs>
      <w:spacing w:before="260" w:after="76" w:line="416" w:lineRule="auto"/>
      <w:outlineLvl w:val="2"/>
    </w:pPr>
    <w:rPr>
      <w:szCs w:val="32"/>
    </w:rPr>
  </w:style>
  <w:style w:type="paragraph" w:styleId="5">
    <w:name w:val="heading 4"/>
    <w:basedOn w:val="4"/>
    <w:next w:val="1"/>
    <w:link w:val="95"/>
    <w:qFormat/>
    <w:uiPriority w:val="0"/>
    <w:pPr>
      <w:overflowPunct w:val="0"/>
      <w:textAlignment w:val="baseline"/>
      <w:outlineLvl w:val="3"/>
    </w:pPr>
    <w:rPr>
      <w:szCs w:val="28"/>
    </w:rPr>
  </w:style>
  <w:style w:type="paragraph" w:styleId="6">
    <w:name w:val="heading 5"/>
    <w:basedOn w:val="5"/>
    <w:next w:val="1"/>
    <w:link w:val="99"/>
    <w:qFormat/>
    <w:uiPriority w:val="0"/>
    <w:pPr>
      <w:spacing w:beforeLines="50"/>
      <w:outlineLvl w:val="4"/>
    </w:pPr>
    <w:rPr>
      <w:szCs w:val="24"/>
    </w:rPr>
  </w:style>
  <w:style w:type="paragraph" w:styleId="7">
    <w:name w:val="heading 6"/>
    <w:basedOn w:val="1"/>
    <w:next w:val="1"/>
    <w:link w:val="94"/>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4"/>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2"/>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6"/>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100"/>
    <w:qFormat/>
    <w:uiPriority w:val="0"/>
    <w:pPr>
      <w:tabs>
        <w:tab w:val="left" w:pos="1418"/>
      </w:tabs>
      <w:spacing w:before="120" w:after="120"/>
    </w:pPr>
    <w:rPr>
      <w:b/>
      <w:bCs/>
      <w:szCs w:val="20"/>
    </w:rPr>
  </w:style>
  <w:style w:type="paragraph" w:styleId="14">
    <w:name w:val="Document Map"/>
    <w:basedOn w:val="1"/>
    <w:link w:val="112"/>
    <w:unhideWhenUsed/>
    <w:qFormat/>
    <w:uiPriority w:val="99"/>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6"/>
    <w:qFormat/>
    <w:uiPriority w:val="0"/>
    <w:pPr>
      <w:widowControl w:val="0"/>
      <w:jc w:val="both"/>
    </w:pPr>
    <w:rPr>
      <w:color w:val="000000"/>
      <w:kern w:val="2"/>
      <w:sz w:val="21"/>
      <w:szCs w:val="20"/>
    </w:rPr>
  </w:style>
  <w:style w:type="paragraph" w:styleId="17">
    <w:name w:val="Body Text Indent"/>
    <w:basedOn w:val="1"/>
    <w:link w:val="101"/>
    <w:unhideWhenUsed/>
    <w:qFormat/>
    <w:uiPriority w:val="99"/>
    <w:pPr>
      <w:spacing w:after="120"/>
      <w:ind w:left="360"/>
    </w:pPr>
  </w:style>
  <w:style w:type="paragraph" w:styleId="18">
    <w:name w:val="List 2"/>
    <w:basedOn w:val="1"/>
    <w:unhideWhenUsed/>
    <w:qFormat/>
    <w:uiPriority w:val="99"/>
    <w:pPr>
      <w:ind w:left="851"/>
    </w:pPr>
  </w:style>
  <w:style w:type="paragraph" w:styleId="19">
    <w:name w:val="Plain Text"/>
    <w:basedOn w:val="1"/>
    <w:link w:val="97"/>
    <w:unhideWhenUsed/>
    <w:qFormat/>
    <w:uiPriority w:val="99"/>
    <w:rPr>
      <w:rFonts w:eastAsia="Calibri"/>
      <w:szCs w:val="21"/>
      <w:lang w:eastAsia="en-US"/>
    </w:rPr>
  </w:style>
  <w:style w:type="paragraph" w:styleId="20">
    <w:name w:val="Date"/>
    <w:basedOn w:val="1"/>
    <w:next w:val="1"/>
    <w:link w:val="87"/>
    <w:unhideWhenUsed/>
    <w:qFormat/>
    <w:uiPriority w:val="99"/>
    <w:pPr>
      <w:ind w:left="100" w:leftChars="2500"/>
    </w:pPr>
  </w:style>
  <w:style w:type="paragraph" w:styleId="21">
    <w:name w:val="Balloon Text"/>
    <w:basedOn w:val="1"/>
    <w:link w:val="110"/>
    <w:unhideWhenUsed/>
    <w:qFormat/>
    <w:uiPriority w:val="99"/>
    <w:rPr>
      <w:rFonts w:ascii="Tahoma" w:hAnsi="Tahoma"/>
      <w:sz w:val="16"/>
      <w:szCs w:val="16"/>
    </w:rPr>
  </w:style>
  <w:style w:type="paragraph" w:styleId="22">
    <w:name w:val="footer"/>
    <w:basedOn w:val="1"/>
    <w:link w:val="105"/>
    <w:unhideWhenUsed/>
    <w:qFormat/>
    <w:uiPriority w:val="99"/>
    <w:pPr>
      <w:tabs>
        <w:tab w:val="center" w:pos="4153"/>
        <w:tab w:val="right" w:pos="8306"/>
      </w:tabs>
      <w:snapToGrid w:val="0"/>
    </w:pPr>
    <w:rPr>
      <w:sz w:val="18"/>
      <w:szCs w:val="18"/>
    </w:rPr>
  </w:style>
  <w:style w:type="paragraph" w:styleId="23">
    <w:name w:val="header"/>
    <w:basedOn w:val="1"/>
    <w:link w:val="91"/>
    <w:qFormat/>
    <w:uiPriority w:val="99"/>
    <w:pPr>
      <w:tabs>
        <w:tab w:val="center" w:pos="4536"/>
        <w:tab w:val="right" w:pos="9072"/>
      </w:tabs>
    </w:pPr>
    <w:rPr>
      <w:rFonts w:ascii="Arial" w:hAnsi="Arial" w:eastAsia="MS Mincho"/>
      <w:b/>
      <w:szCs w:val="24"/>
      <w:lang w:eastAsia="en-US"/>
    </w:rPr>
  </w:style>
  <w:style w:type="paragraph" w:styleId="24">
    <w:name w:val="List"/>
    <w:basedOn w:val="1"/>
    <w:unhideWhenUsed/>
    <w:qFormat/>
    <w:uiPriority w:val="99"/>
    <w:pPr>
      <w:ind w:left="568" w:hanging="284"/>
    </w:pPr>
  </w:style>
  <w:style w:type="paragraph" w:styleId="25">
    <w:name w:val="Body Text 2"/>
    <w:basedOn w:val="1"/>
    <w:unhideWhenUsed/>
    <w:qFormat/>
    <w:uiPriority w:val="99"/>
    <w:pPr>
      <w:spacing w:before="120" w:beforeLines="50" w:after="120" w:afterLines="50"/>
      <w:jc w:val="both"/>
    </w:pPr>
    <w:rPr>
      <w:rFonts w:eastAsiaTheme="minorEastAsia"/>
      <w:sz w:val="22"/>
      <w:lang w:eastAsia="zh-CN"/>
    </w:rPr>
  </w:style>
  <w:style w:type="paragraph" w:styleId="26">
    <w:name w:val="Normal (Web)"/>
    <w:basedOn w:val="1"/>
    <w:unhideWhenUsed/>
    <w:qFormat/>
    <w:uiPriority w:val="99"/>
    <w:rPr>
      <w:rFonts w:ascii="宋体" w:hAnsi="宋体" w:cs="宋体"/>
      <w:sz w:val="24"/>
      <w:szCs w:val="24"/>
    </w:rPr>
  </w:style>
  <w:style w:type="paragraph" w:styleId="27">
    <w:name w:val="annotation subject"/>
    <w:basedOn w:val="15"/>
    <w:next w:val="15"/>
    <w:link w:val="89"/>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Emphasis"/>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paragraph" w:customStyle="1" w:styleId="35">
    <w:name w:val="TH"/>
    <w:basedOn w:val="1"/>
    <w:link w:val="85"/>
    <w:qFormat/>
    <w:uiPriority w:val="0"/>
    <w:pPr>
      <w:keepNext/>
      <w:keepLines/>
      <w:spacing w:before="60" w:after="180"/>
      <w:jc w:val="center"/>
    </w:pPr>
    <w:rPr>
      <w:rFonts w:ascii="Arial" w:hAnsi="Arial"/>
      <w:b/>
      <w:szCs w:val="20"/>
      <w:lang w:eastAsia="en-US"/>
    </w:rPr>
  </w:style>
  <w:style w:type="paragraph" w:customStyle="1" w:styleId="36">
    <w:name w:val="列出段落5"/>
    <w:basedOn w:val="1"/>
    <w:unhideWhenUsed/>
    <w:qFormat/>
    <w:uiPriority w:val="99"/>
    <w:pPr>
      <w:ind w:firstLine="420" w:firstLineChars="200"/>
    </w:pPr>
  </w:style>
  <w:style w:type="paragraph" w:customStyle="1" w:styleId="37">
    <w:name w:val="EQ"/>
    <w:basedOn w:val="1"/>
    <w:next w:val="1"/>
    <w:qFormat/>
    <w:uiPriority w:val="0"/>
    <w:pPr>
      <w:keepLines/>
      <w:tabs>
        <w:tab w:val="center" w:pos="4536"/>
        <w:tab w:val="right" w:pos="9072"/>
      </w:tabs>
      <w:overflowPunct w:val="0"/>
      <w:spacing w:after="180"/>
      <w:textAlignment w:val="baseline"/>
    </w:pPr>
  </w:style>
  <w:style w:type="paragraph" w:customStyle="1" w:styleId="38">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9">
    <w:name w:val="List Paragraph5"/>
    <w:basedOn w:val="1"/>
    <w:qFormat/>
    <w:uiPriority w:val="99"/>
    <w:pPr>
      <w:ind w:firstLine="420" w:firstLineChars="200"/>
    </w:pPr>
  </w:style>
  <w:style w:type="paragraph" w:customStyle="1" w:styleId="40">
    <w:name w:val="CR Cover Page"/>
    <w:qFormat/>
    <w:uiPriority w:val="0"/>
    <w:pPr>
      <w:spacing w:after="120"/>
    </w:pPr>
    <w:rPr>
      <w:rFonts w:ascii="Arial" w:hAnsi="Arial" w:eastAsia="宋体" w:cs="Times New Roman"/>
      <w:sz w:val="21"/>
      <w:szCs w:val="22"/>
      <w:lang w:val="en-GB" w:eastAsia="en-US" w:bidi="ar-SA"/>
    </w:rPr>
  </w:style>
  <w:style w:type="paragraph" w:customStyle="1" w:styleId="41">
    <w:name w:val="TAH"/>
    <w:basedOn w:val="42"/>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2">
    <w:name w:val="TAC"/>
    <w:basedOn w:val="43"/>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3">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4">
    <w:name w:val="列出段落4"/>
    <w:basedOn w:val="1"/>
    <w:qFormat/>
    <w:uiPriority w:val="99"/>
    <w:pPr>
      <w:ind w:firstLine="420" w:firstLineChars="200"/>
    </w:pPr>
  </w:style>
  <w:style w:type="paragraph" w:customStyle="1" w:styleId="45">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7">
    <w:name w:val="TAN"/>
    <w:basedOn w:val="1"/>
    <w:qFormat/>
    <w:uiPriority w:val="0"/>
    <w:pPr>
      <w:keepNext/>
      <w:keepLines/>
      <w:ind w:left="851" w:hanging="851"/>
    </w:pPr>
    <w:rPr>
      <w:rFonts w:ascii="Arial" w:hAnsi="Arial"/>
      <w:sz w:val="18"/>
      <w:szCs w:val="20"/>
      <w:lang w:eastAsia="en-US"/>
    </w:rPr>
  </w:style>
  <w:style w:type="paragraph" w:customStyle="1" w:styleId="48">
    <w:name w:val="列出段落1"/>
    <w:basedOn w:val="1"/>
    <w:qFormat/>
    <w:uiPriority w:val="34"/>
    <w:pPr>
      <w:ind w:left="840" w:leftChars="400"/>
    </w:pPr>
    <w:rPr>
      <w:rFonts w:ascii="Times" w:hAnsi="Times" w:eastAsia="Batang"/>
      <w:szCs w:val="24"/>
      <w:lang w:val="en-GB"/>
    </w:rPr>
  </w:style>
  <w:style w:type="paragraph" w:customStyle="1" w:styleId="49">
    <w:name w:val="修订2"/>
    <w:semiHidden/>
    <w:qFormat/>
    <w:uiPriority w:val="99"/>
    <w:rPr>
      <w:rFonts w:ascii="Times New Roman" w:hAnsi="Times New Roman" w:eastAsia="宋体" w:cs="Times New Roman"/>
      <w:szCs w:val="22"/>
      <w:lang w:val="en-US" w:eastAsia="zh-CN" w:bidi="ar-SA"/>
    </w:rPr>
  </w:style>
  <w:style w:type="paragraph" w:customStyle="1" w:styleId="50">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1">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2">
    <w:name w:val="List Paragraph3"/>
    <w:basedOn w:val="1"/>
    <w:qFormat/>
    <w:uiPriority w:val="99"/>
    <w:pPr>
      <w:ind w:firstLine="420" w:firstLineChars="200"/>
    </w:pPr>
  </w:style>
  <w:style w:type="paragraph" w:customStyle="1" w:styleId="53">
    <w:name w:val="Doc-text2"/>
    <w:basedOn w:val="1"/>
    <w:link w:val="113"/>
    <w:qFormat/>
    <w:uiPriority w:val="0"/>
    <w:pPr>
      <w:tabs>
        <w:tab w:val="left" w:pos="1622"/>
      </w:tabs>
      <w:ind w:left="1622" w:hanging="363"/>
    </w:pPr>
    <w:rPr>
      <w:rFonts w:ascii="Arial" w:hAnsi="Arial" w:eastAsia="MS Mincho"/>
      <w:szCs w:val="24"/>
    </w:rPr>
  </w:style>
  <w:style w:type="paragraph" w:customStyle="1" w:styleId="54">
    <w:name w:val="B2"/>
    <w:basedOn w:val="18"/>
    <w:qFormat/>
    <w:uiPriority w:val="0"/>
  </w:style>
  <w:style w:type="paragraph" w:customStyle="1" w:styleId="55">
    <w:name w:val="TF"/>
    <w:basedOn w:val="35"/>
    <w:link w:val="92"/>
    <w:qFormat/>
    <w:uiPriority w:val="0"/>
    <w:pPr>
      <w:keepNext w:val="0"/>
      <w:spacing w:before="0" w:after="240"/>
    </w:pPr>
    <w:rPr>
      <w:lang w:val="en-GB"/>
    </w:rPr>
  </w:style>
  <w:style w:type="paragraph" w:customStyle="1" w:styleId="56">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57">
    <w:name w:val="修订1"/>
    <w:semiHidden/>
    <w:qFormat/>
    <w:uiPriority w:val="99"/>
    <w:rPr>
      <w:rFonts w:ascii="Calibri" w:hAnsi="Calibri" w:eastAsia="宋体" w:cs="Times New Roman"/>
      <w:sz w:val="22"/>
      <w:szCs w:val="22"/>
      <w:lang w:val="en-US" w:eastAsia="zh-CN" w:bidi="ar-SA"/>
    </w:rPr>
  </w:style>
  <w:style w:type="paragraph" w:customStyle="1" w:styleId="58">
    <w:name w:val="_Style 55"/>
    <w:unhideWhenUsed/>
    <w:qFormat/>
    <w:uiPriority w:val="99"/>
    <w:rPr>
      <w:rFonts w:ascii="Times New Roman" w:hAnsi="Times New Roman" w:eastAsia="Times New Roman" w:cs="Times New Roman"/>
      <w:szCs w:val="22"/>
      <w:lang w:val="en-US" w:eastAsia="zh-CN" w:bidi="ar-SA"/>
    </w:rPr>
  </w:style>
  <w:style w:type="paragraph" w:customStyle="1" w:styleId="59">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0">
    <w:name w:val="B3"/>
    <w:basedOn w:val="11"/>
    <w:qFormat/>
    <w:uiPriority w:val="0"/>
    <w:pPr>
      <w:spacing w:after="180"/>
      <w:ind w:left="1135" w:leftChars="0" w:hanging="284" w:firstLineChars="0"/>
    </w:pPr>
    <w:rPr>
      <w:rFonts w:eastAsia="MS Mincho"/>
      <w:szCs w:val="20"/>
      <w:lang w:eastAsia="en-US"/>
    </w:rPr>
  </w:style>
  <w:style w:type="paragraph" w:customStyle="1" w:styleId="61">
    <w:name w:val="RAN1 text"/>
    <w:basedOn w:val="16"/>
    <w:qFormat/>
    <w:uiPriority w:val="0"/>
    <w:rPr>
      <w:rFonts w:eastAsia="MS Mincho"/>
    </w:rPr>
  </w:style>
  <w:style w:type="paragraph" w:customStyle="1" w:styleId="62">
    <w:name w:val="列出段落3"/>
    <w:basedOn w:val="1"/>
    <w:qFormat/>
    <w:uiPriority w:val="99"/>
    <w:pPr>
      <w:ind w:firstLine="420" w:firstLineChars="200"/>
    </w:pPr>
  </w:style>
  <w:style w:type="paragraph" w:customStyle="1" w:styleId="63">
    <w:name w:val="_Style 1"/>
    <w:basedOn w:val="1"/>
    <w:qFormat/>
    <w:uiPriority w:val="34"/>
    <w:pPr>
      <w:ind w:left="840" w:leftChars="400"/>
    </w:pPr>
  </w:style>
  <w:style w:type="paragraph" w:customStyle="1" w:styleId="64">
    <w:name w:val="列出段落2"/>
    <w:basedOn w:val="1"/>
    <w:qFormat/>
    <w:uiPriority w:val="99"/>
    <w:pPr>
      <w:ind w:left="720"/>
      <w:contextualSpacing/>
    </w:pPr>
  </w:style>
  <w:style w:type="paragraph" w:customStyle="1" w:styleId="65">
    <w:name w:val="B1"/>
    <w:basedOn w:val="24"/>
    <w:qFormat/>
    <w:uiPriority w:val="0"/>
  </w:style>
  <w:style w:type="paragraph" w:customStyle="1" w:styleId="66">
    <w:name w:val="List Paragraph1"/>
    <w:basedOn w:val="1"/>
    <w:unhideWhenUsed/>
    <w:qFormat/>
    <w:uiPriority w:val="99"/>
    <w:pPr>
      <w:ind w:firstLine="420" w:firstLineChars="200"/>
    </w:pPr>
  </w:style>
  <w:style w:type="paragraph" w:customStyle="1" w:styleId="67">
    <w:name w:val="列出段落11"/>
    <w:basedOn w:val="1"/>
    <w:link w:val="90"/>
    <w:qFormat/>
    <w:uiPriority w:val="34"/>
    <w:pPr>
      <w:widowControl w:val="0"/>
      <w:ind w:firstLine="420" w:firstLineChars="200"/>
      <w:jc w:val="both"/>
    </w:pPr>
    <w:rPr>
      <w:kern w:val="2"/>
      <w:sz w:val="21"/>
      <w:szCs w:val="24"/>
    </w:rPr>
  </w:style>
  <w:style w:type="paragraph" w:customStyle="1" w:styleId="68">
    <w:name w:val="Revision2"/>
    <w:unhideWhenUsed/>
    <w:qFormat/>
    <w:uiPriority w:val="99"/>
    <w:rPr>
      <w:rFonts w:ascii="Times New Roman" w:hAnsi="Times New Roman" w:eastAsia="Times New Roman" w:cs="Times New Roman"/>
      <w:szCs w:val="22"/>
      <w:lang w:val="en-US" w:eastAsia="zh-CN" w:bidi="ar-SA"/>
    </w:rPr>
  </w:style>
  <w:style w:type="paragraph" w:customStyle="1" w:styleId="69">
    <w:name w:val="List Paragraph7"/>
    <w:basedOn w:val="1"/>
    <w:qFormat/>
    <w:uiPriority w:val="34"/>
    <w:pPr>
      <w:ind w:firstLine="420"/>
    </w:pPr>
    <w:rPr>
      <w:rFonts w:ascii="MS PGothic" w:hAnsi="MS PGothic" w:eastAsia="MS PGothic" w:cs="宋体"/>
      <w:sz w:val="24"/>
      <w:szCs w:val="24"/>
    </w:rPr>
  </w:style>
  <w:style w:type="paragraph" w:customStyle="1" w:styleId="70">
    <w:name w:val="表格文字居左"/>
    <w:basedOn w:val="1"/>
    <w:next w:val="1"/>
    <w:qFormat/>
    <w:uiPriority w:val="0"/>
    <w:pPr>
      <w:widowControl w:val="0"/>
      <w:jc w:val="both"/>
    </w:pPr>
    <w:rPr>
      <w:rFonts w:ascii="Arial" w:hAnsi="Arial" w:cs="宋体"/>
      <w:kern w:val="2"/>
      <w:sz w:val="21"/>
      <w:szCs w:val="20"/>
    </w:rPr>
  </w:style>
  <w:style w:type="paragraph" w:customStyle="1" w:styleId="71">
    <w:name w:val="_Style 3"/>
    <w:basedOn w:val="1"/>
    <w:qFormat/>
    <w:uiPriority w:val="34"/>
    <w:pPr>
      <w:ind w:left="840" w:leftChars="400"/>
    </w:p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3">
    <w:name w:val="List Paragraph6"/>
    <w:basedOn w:val="1"/>
    <w:qFormat/>
    <w:uiPriority w:val="99"/>
    <w:pPr>
      <w:ind w:firstLine="420" w:firstLineChars="200"/>
    </w:pPr>
  </w:style>
  <w:style w:type="paragraph" w:customStyle="1" w:styleId="74">
    <w:name w:val="tablecell"/>
    <w:basedOn w:val="1"/>
    <w:qFormat/>
    <w:uiPriority w:val="0"/>
    <w:pPr>
      <w:autoSpaceDE w:val="0"/>
      <w:autoSpaceDN w:val="0"/>
      <w:adjustRightInd w:val="0"/>
      <w:snapToGrid w:val="0"/>
      <w:spacing w:before="40" w:after="40"/>
    </w:pPr>
    <w:rPr>
      <w:lang w:eastAsia="en-US"/>
    </w:rPr>
  </w:style>
  <w:style w:type="paragraph" w:customStyle="1" w:styleId="75">
    <w:name w:val="tableheader"/>
    <w:basedOn w:val="1"/>
    <w:qFormat/>
    <w:uiPriority w:val="0"/>
    <w:pPr>
      <w:snapToGrid w:val="0"/>
      <w:spacing w:before="40" w:after="40"/>
      <w:jc w:val="center"/>
    </w:pPr>
    <w:rPr>
      <w:rFonts w:cs="Calibri"/>
      <w:b/>
      <w:bCs/>
      <w:color w:val="000000"/>
      <w:lang w:eastAsia="en-US"/>
    </w:rPr>
  </w:style>
  <w:style w:type="paragraph" w:customStyle="1" w:styleId="76">
    <w:name w:val="Test"/>
    <w:basedOn w:val="1"/>
    <w:qFormat/>
    <w:uiPriority w:val="0"/>
    <w:pPr>
      <w:spacing w:before="60" w:after="60" w:line="280" w:lineRule="atLeast"/>
      <w:ind w:left="2160"/>
      <w:jc w:val="both"/>
    </w:pPr>
    <w:rPr>
      <w:rFonts w:eastAsia="MS Mincho"/>
      <w:szCs w:val="20"/>
      <w:lang w:eastAsia="en-US"/>
    </w:rPr>
  </w:style>
  <w:style w:type="paragraph" w:customStyle="1" w:styleId="77">
    <w:name w:val="main text"/>
    <w:basedOn w:val="1"/>
    <w:link w:val="109"/>
    <w:qFormat/>
    <w:uiPriority w:val="0"/>
    <w:pPr>
      <w:spacing w:before="60" w:after="60" w:line="288" w:lineRule="auto"/>
      <w:ind w:firstLine="200" w:firstLineChars="200"/>
      <w:jc w:val="both"/>
    </w:pPr>
    <w:rPr>
      <w:rFonts w:eastAsia="Malgun Gothic"/>
      <w:szCs w:val="20"/>
      <w:lang w:eastAsia="ko-KR"/>
    </w:rPr>
  </w:style>
  <w:style w:type="paragraph" w:customStyle="1" w:styleId="78">
    <w:name w:val="Revision1"/>
    <w:semiHidden/>
    <w:qFormat/>
    <w:uiPriority w:val="99"/>
    <w:rPr>
      <w:rFonts w:ascii="Times New Roman" w:hAnsi="Times New Roman" w:eastAsia="宋体" w:cs="Times New Roman"/>
      <w:szCs w:val="22"/>
      <w:lang w:val="en-US" w:eastAsia="zh-CN" w:bidi="ar-SA"/>
    </w:rPr>
  </w:style>
  <w:style w:type="paragraph" w:customStyle="1" w:styleId="79">
    <w:name w:val="RAN1 bullet1"/>
    <w:basedOn w:val="1"/>
    <w:qFormat/>
    <w:uiPriority w:val="0"/>
    <w:pPr>
      <w:numPr>
        <w:ilvl w:val="0"/>
        <w:numId w:val="3"/>
      </w:numPr>
    </w:pPr>
  </w:style>
  <w:style w:type="paragraph" w:customStyle="1" w:styleId="80">
    <w:name w:val="List Paragraph2"/>
    <w:basedOn w:val="1"/>
    <w:qFormat/>
    <w:uiPriority w:val="99"/>
    <w:pPr>
      <w:ind w:firstLine="420" w:firstLineChars="200"/>
    </w:pPr>
  </w:style>
  <w:style w:type="paragraph" w:customStyle="1" w:styleId="81">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2">
    <w:name w:val="z-窗体顶端1"/>
    <w:basedOn w:val="1"/>
    <w:next w:val="1"/>
    <w:link w:val="88"/>
    <w:unhideWhenUsed/>
    <w:qFormat/>
    <w:uiPriority w:val="99"/>
    <w:pPr>
      <w:pBdr>
        <w:bottom w:val="single" w:color="auto" w:sz="6" w:space="1"/>
      </w:pBdr>
      <w:jc w:val="center"/>
    </w:pPr>
    <w:rPr>
      <w:rFonts w:ascii="Arial" w:hAnsi="Arial"/>
      <w:vanish/>
      <w:sz w:val="16"/>
      <w:szCs w:val="16"/>
    </w:rPr>
  </w:style>
  <w:style w:type="character" w:customStyle="1" w:styleId="83">
    <w:name w:val="标题 3 Char"/>
    <w:link w:val="4"/>
    <w:qFormat/>
    <w:uiPriority w:val="9"/>
    <w:rPr>
      <w:rFonts w:ascii="Times New Roman" w:hAnsi="Times New Roman" w:eastAsia="宋体"/>
      <w:b/>
      <w:bCs/>
      <w:sz w:val="24"/>
      <w:szCs w:val="32"/>
      <w:lang w:val="en-US" w:eastAsia="zh-CN"/>
    </w:rPr>
  </w:style>
  <w:style w:type="character" w:customStyle="1" w:styleId="84">
    <w:name w:val="标题 7 Char"/>
    <w:link w:val="8"/>
    <w:semiHidden/>
    <w:qFormat/>
    <w:uiPriority w:val="9"/>
    <w:rPr>
      <w:b/>
      <w:bCs/>
      <w:sz w:val="24"/>
      <w:szCs w:val="24"/>
      <w:lang w:val="en-US" w:eastAsia="zh-CN"/>
    </w:rPr>
  </w:style>
  <w:style w:type="character" w:customStyle="1" w:styleId="85">
    <w:name w:val="TH Char"/>
    <w:link w:val="35"/>
    <w:qFormat/>
    <w:uiPriority w:val="0"/>
    <w:rPr>
      <w:rFonts w:ascii="Arial" w:hAnsi="Arial"/>
      <w:b/>
      <w:lang w:eastAsia="en-US"/>
    </w:rPr>
  </w:style>
  <w:style w:type="character" w:customStyle="1" w:styleId="86">
    <w:name w:val="正文文本 Char"/>
    <w:link w:val="16"/>
    <w:qFormat/>
    <w:uiPriority w:val="0"/>
    <w:rPr>
      <w:rFonts w:ascii="Times New Roman" w:hAnsi="Times New Roman" w:eastAsia="宋体"/>
      <w:color w:val="000000"/>
      <w:kern w:val="2"/>
      <w:sz w:val="21"/>
    </w:rPr>
  </w:style>
  <w:style w:type="character" w:customStyle="1" w:styleId="87">
    <w:name w:val="日期 Char"/>
    <w:link w:val="20"/>
    <w:semiHidden/>
    <w:qFormat/>
    <w:uiPriority w:val="99"/>
    <w:rPr>
      <w:sz w:val="22"/>
      <w:szCs w:val="22"/>
    </w:rPr>
  </w:style>
  <w:style w:type="character" w:customStyle="1" w:styleId="88">
    <w:name w:val="z-窗体顶端 Char"/>
    <w:link w:val="82"/>
    <w:semiHidden/>
    <w:qFormat/>
    <w:uiPriority w:val="99"/>
    <w:rPr>
      <w:rFonts w:ascii="Arial" w:hAnsi="Arial" w:cs="Arial"/>
      <w:vanish/>
      <w:sz w:val="16"/>
      <w:szCs w:val="16"/>
    </w:rPr>
  </w:style>
  <w:style w:type="character" w:customStyle="1" w:styleId="89">
    <w:name w:val="批注主题 Char"/>
    <w:link w:val="27"/>
    <w:semiHidden/>
    <w:qFormat/>
    <w:uiPriority w:val="99"/>
    <w:rPr>
      <w:b/>
      <w:bCs/>
    </w:rPr>
  </w:style>
  <w:style w:type="character" w:customStyle="1" w:styleId="90">
    <w:name w:val="列出段落 Char"/>
    <w:link w:val="67"/>
    <w:qFormat/>
    <w:uiPriority w:val="34"/>
    <w:rPr>
      <w:rFonts w:ascii="Times New Roman" w:hAnsi="Times New Roman"/>
      <w:kern w:val="2"/>
      <w:sz w:val="21"/>
      <w:szCs w:val="24"/>
    </w:rPr>
  </w:style>
  <w:style w:type="character" w:customStyle="1" w:styleId="91">
    <w:name w:val="页眉 Char"/>
    <w:link w:val="23"/>
    <w:qFormat/>
    <w:uiPriority w:val="99"/>
    <w:rPr>
      <w:rFonts w:ascii="Arial" w:hAnsi="Arial" w:eastAsia="MS Mincho"/>
      <w:b/>
      <w:szCs w:val="24"/>
      <w:lang w:eastAsia="en-US"/>
    </w:rPr>
  </w:style>
  <w:style w:type="character" w:customStyle="1" w:styleId="92">
    <w:name w:val="TF Char"/>
    <w:link w:val="55"/>
    <w:qFormat/>
    <w:uiPriority w:val="0"/>
    <w:rPr>
      <w:rFonts w:ascii="Arial" w:hAnsi="Arial"/>
      <w:b/>
      <w:lang w:val="en-GB" w:eastAsia="en-US"/>
    </w:rPr>
  </w:style>
  <w:style w:type="character" w:customStyle="1" w:styleId="93">
    <w:name w:val="标题 1 Char"/>
    <w:link w:val="2"/>
    <w:qFormat/>
    <w:uiPriority w:val="99"/>
    <w:rPr>
      <w:rFonts w:ascii="Times New Roman" w:hAnsi="Times New Roman" w:eastAsia="黑体"/>
      <w:b/>
      <w:bCs/>
      <w:sz w:val="30"/>
      <w:szCs w:val="30"/>
      <w:lang w:val="zh-CN" w:eastAsia="zh-CN"/>
    </w:rPr>
  </w:style>
  <w:style w:type="character" w:customStyle="1" w:styleId="94">
    <w:name w:val="标题 6 Char"/>
    <w:link w:val="7"/>
    <w:semiHidden/>
    <w:qFormat/>
    <w:uiPriority w:val="9"/>
    <w:rPr>
      <w:rFonts w:ascii="Cambria" w:hAnsi="Cambria" w:eastAsia="宋体" w:cs="黑体"/>
      <w:b/>
      <w:bCs/>
      <w:sz w:val="24"/>
      <w:szCs w:val="24"/>
      <w:lang w:val="en-US" w:eastAsia="zh-CN"/>
    </w:rPr>
  </w:style>
  <w:style w:type="character" w:customStyle="1" w:styleId="95">
    <w:name w:val="标题 4 Char"/>
    <w:link w:val="5"/>
    <w:qFormat/>
    <w:uiPriority w:val="0"/>
    <w:rPr>
      <w:rFonts w:ascii="Times New Roman" w:hAnsi="Times New Roman"/>
      <w:b/>
      <w:sz w:val="28"/>
      <w:szCs w:val="28"/>
      <w:lang w:eastAsia="zh-CN"/>
    </w:rPr>
  </w:style>
  <w:style w:type="character" w:customStyle="1" w:styleId="96">
    <w:name w:val="标题 9 Char"/>
    <w:link w:val="10"/>
    <w:semiHidden/>
    <w:qFormat/>
    <w:uiPriority w:val="9"/>
    <w:rPr>
      <w:rFonts w:ascii="Cambria" w:hAnsi="Cambria" w:eastAsia="宋体" w:cs="黑体"/>
      <w:sz w:val="21"/>
      <w:szCs w:val="21"/>
      <w:lang w:val="en-US" w:eastAsia="zh-CN"/>
    </w:rPr>
  </w:style>
  <w:style w:type="character" w:customStyle="1" w:styleId="97">
    <w:name w:val="纯文本 Char"/>
    <w:link w:val="19"/>
    <w:qFormat/>
    <w:uiPriority w:val="99"/>
    <w:rPr>
      <w:rFonts w:eastAsia="Calibri"/>
      <w:sz w:val="22"/>
      <w:szCs w:val="21"/>
      <w:lang w:eastAsia="en-US"/>
    </w:rPr>
  </w:style>
  <w:style w:type="character" w:customStyle="1" w:styleId="98">
    <w:name w:val="apple-converted-space"/>
    <w:basedOn w:val="30"/>
    <w:qFormat/>
    <w:uiPriority w:val="0"/>
  </w:style>
  <w:style w:type="character" w:customStyle="1" w:styleId="99">
    <w:name w:val="标题 5 Char"/>
    <w:link w:val="6"/>
    <w:qFormat/>
    <w:uiPriority w:val="0"/>
    <w:rPr>
      <w:rFonts w:ascii="Times New Roman" w:hAnsi="Times New Roman"/>
      <w:b/>
      <w:sz w:val="24"/>
      <w:szCs w:val="24"/>
      <w:lang w:eastAsia="zh-CN"/>
    </w:rPr>
  </w:style>
  <w:style w:type="character" w:customStyle="1" w:styleId="100">
    <w:name w:val="题注 Char"/>
    <w:link w:val="13"/>
    <w:qFormat/>
    <w:uiPriority w:val="0"/>
    <w:rPr>
      <w:rFonts w:ascii="Times New Roman" w:hAnsi="Times New Roman"/>
      <w:b/>
      <w:bCs/>
    </w:rPr>
  </w:style>
  <w:style w:type="character" w:customStyle="1" w:styleId="101">
    <w:name w:val="正文文本缩进 Char"/>
    <w:link w:val="17"/>
    <w:semiHidden/>
    <w:qFormat/>
    <w:uiPriority w:val="99"/>
    <w:rPr>
      <w:sz w:val="22"/>
      <w:szCs w:val="22"/>
    </w:rPr>
  </w:style>
  <w:style w:type="character" w:customStyle="1" w:styleId="102">
    <w:name w:val="标题 8 Char"/>
    <w:link w:val="9"/>
    <w:semiHidden/>
    <w:qFormat/>
    <w:uiPriority w:val="9"/>
    <w:rPr>
      <w:rFonts w:ascii="Cambria" w:hAnsi="Cambria" w:eastAsia="宋体" w:cs="黑体"/>
      <w:sz w:val="24"/>
      <w:szCs w:val="24"/>
      <w:lang w:val="en-US" w:eastAsia="zh-CN"/>
    </w:rPr>
  </w:style>
  <w:style w:type="character" w:customStyle="1" w:styleId="103">
    <w:name w:val="标题 2 Char"/>
    <w:link w:val="3"/>
    <w:qFormat/>
    <w:uiPriority w:val="0"/>
    <w:rPr>
      <w:rFonts w:ascii="Times New Roman" w:hAnsi="Times New Roman" w:eastAsia="宋体"/>
      <w:b/>
      <w:bCs/>
      <w:kern w:val="2"/>
      <w:sz w:val="24"/>
      <w:szCs w:val="24"/>
      <w:lang w:val="zh-CN"/>
    </w:rPr>
  </w:style>
  <w:style w:type="character" w:customStyle="1" w:styleId="104">
    <w:name w:val="short_text"/>
    <w:basedOn w:val="30"/>
    <w:qFormat/>
    <w:uiPriority w:val="0"/>
  </w:style>
  <w:style w:type="character" w:customStyle="1" w:styleId="105">
    <w:name w:val="页脚 Char"/>
    <w:link w:val="22"/>
    <w:qFormat/>
    <w:uiPriority w:val="99"/>
    <w:rPr>
      <w:sz w:val="18"/>
      <w:szCs w:val="18"/>
    </w:rPr>
  </w:style>
  <w:style w:type="character" w:customStyle="1" w:styleId="106">
    <w:name w:val="批注文字 Char"/>
    <w:basedOn w:val="30"/>
    <w:link w:val="15"/>
    <w:qFormat/>
    <w:uiPriority w:val="99"/>
  </w:style>
  <w:style w:type="character" w:customStyle="1" w:styleId="107">
    <w:name w:val="hps"/>
    <w:basedOn w:val="30"/>
    <w:qFormat/>
    <w:uiPriority w:val="0"/>
  </w:style>
  <w:style w:type="character" w:customStyle="1" w:styleId="108">
    <w:name w:val="z-窗体底端 Char"/>
    <w:link w:val="56"/>
    <w:semiHidden/>
    <w:qFormat/>
    <w:uiPriority w:val="99"/>
    <w:rPr>
      <w:rFonts w:ascii="Arial" w:hAnsi="Arial" w:cs="Arial"/>
      <w:vanish/>
      <w:sz w:val="16"/>
      <w:szCs w:val="16"/>
    </w:rPr>
  </w:style>
  <w:style w:type="character" w:customStyle="1" w:styleId="109">
    <w:name w:val="main text Char"/>
    <w:link w:val="77"/>
    <w:qFormat/>
    <w:uiPriority w:val="0"/>
    <w:rPr>
      <w:rFonts w:ascii="Times New Roman" w:hAnsi="Times New Roman" w:eastAsia="Malgun Gothic"/>
      <w:lang w:eastAsia="ko-KR"/>
    </w:rPr>
  </w:style>
  <w:style w:type="character" w:customStyle="1" w:styleId="110">
    <w:name w:val="批注框文本 Char"/>
    <w:link w:val="21"/>
    <w:semiHidden/>
    <w:qFormat/>
    <w:uiPriority w:val="99"/>
    <w:rPr>
      <w:rFonts w:ascii="Tahoma" w:hAnsi="Tahoma" w:cs="Tahoma"/>
      <w:sz w:val="16"/>
      <w:szCs w:val="16"/>
    </w:rPr>
  </w:style>
  <w:style w:type="character" w:customStyle="1" w:styleId="111">
    <w:name w:val="keyword"/>
    <w:basedOn w:val="30"/>
    <w:qFormat/>
    <w:uiPriority w:val="0"/>
  </w:style>
  <w:style w:type="character" w:customStyle="1" w:styleId="112">
    <w:name w:val="文档结构图 Char"/>
    <w:link w:val="14"/>
    <w:semiHidden/>
    <w:qFormat/>
    <w:uiPriority w:val="99"/>
    <w:rPr>
      <w:rFonts w:ascii="宋体"/>
      <w:sz w:val="18"/>
      <w:szCs w:val="18"/>
    </w:rPr>
  </w:style>
  <w:style w:type="character" w:customStyle="1" w:styleId="113">
    <w:name w:val="Doc-text2 Char"/>
    <w:link w:val="53"/>
    <w:qFormat/>
    <w:uiPriority w:val="0"/>
    <w:rPr>
      <w:rFonts w:ascii="Arial" w:hAnsi="Arial" w:eastAsia="MS Mincho"/>
      <w:szCs w:val="24"/>
    </w:rPr>
  </w:style>
  <w:style w:type="paragraph" w:customStyle="1" w:styleId="114">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adjustRightInd w:val="0"/>
      <w:spacing w:beforeLines="35" w:line="460" w:lineRule="exact"/>
      <w:ind w:firstLine="560"/>
    </w:pPr>
    <w:rPr>
      <w:rFonts w:cs="宋体"/>
    </w:rPr>
  </w:style>
  <w:style w:type="paragraph" w:customStyle="1" w:styleId="116">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7">
    <w:name w:val="TAC Char"/>
    <w:link w:val="42"/>
    <w:qFormat/>
    <w:uiPriority w:val="0"/>
    <w:rPr>
      <w:rFonts w:ascii="Arial" w:hAnsi="Arial" w:eastAsia="Times New Roman" w:cs="Times New Roman"/>
      <w:sz w:val="18"/>
      <w:lang w:eastAsia="en-US"/>
    </w:rPr>
  </w:style>
  <w:style w:type="character" w:customStyle="1" w:styleId="118">
    <w:name w:val="TAH Car"/>
    <w:link w:val="41"/>
    <w:qFormat/>
    <w:uiPriority w:val="0"/>
    <w:rPr>
      <w:rFonts w:ascii="Arial" w:hAnsi="Arial" w:eastAsia="Times New Roman" w:cs="Times New Roman"/>
      <w:b/>
      <w:sz w:val="18"/>
      <w:lang w:eastAsia="en-US"/>
    </w:rPr>
  </w:style>
  <w:style w:type="paragraph" w:customStyle="1" w:styleId="119">
    <w:name w:val="列出段落6"/>
    <w:basedOn w:val="1"/>
    <w:qFormat/>
    <w:uiPriority w:val="34"/>
    <w:pPr>
      <w:ind w:left="840" w:leftChars="400"/>
    </w:pPr>
  </w:style>
  <w:style w:type="character" w:customStyle="1" w:styleId="120">
    <w:name w:val="normaltextrun"/>
    <w:basedOn w:val="30"/>
    <w:qFormat/>
    <w:uiPriority w:val="0"/>
  </w:style>
  <w:style w:type="paragraph" w:customStyle="1" w:styleId="121">
    <w:name w:val="0 Main text"/>
    <w:basedOn w:val="77"/>
    <w:qFormat/>
    <w:uiPriority w:val="0"/>
    <w:pPr>
      <w:spacing w:before="0" w:after="100" w:afterAutospacing="1"/>
      <w:ind w:firstLine="360" w:firstLineChars="0"/>
    </w:pPr>
    <w:rPr>
      <w:lang w:eastAsia="en-US"/>
    </w:rPr>
  </w:style>
  <w:style w:type="paragraph" w:styleId="122">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1436</Words>
  <Characters>8186</Characters>
  <Lines>68</Lines>
  <Paragraphs>19</Paragraphs>
  <TotalTime>13</TotalTime>
  <ScaleCrop>false</ScaleCrop>
  <LinksUpToDate>false</LinksUpToDate>
  <CharactersWithSpaces>9603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2019-11-09T00:23:00Z</dcterms:created>
  <dc:creator>ZTE</dc:creator>
  <cp:lastModifiedBy>ZHANG, Yang</cp:lastModifiedBy>
  <dcterms:modified xsi:type="dcterms:W3CDTF">2021-01-18T01:17:03Z</dcterms:modified>
  <dc:title>Full Tx Power</dc:title>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